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Calibri" w:cs="Calibri" w:eastAsia="Calibri" w:hAnsi="Calibri"/>
          <w:b/>
          <w:bCs/>
          <w:color w:val="1A1A2E"/>
          <w:spacing w:val="140"/>
          <w:sz w:val="38"/>
          <w:szCs w:val="38"/>
        </w:rPr>
        <w:t xml:space="preserve">ROHIT KUMAR PUNDHIR</w:t>
      </w:r>
    </w:p>
    <w:p>
      <w:pPr>
        <w:spacing w:after="60"/>
        <w:jc w:val="center"/>
      </w:pPr>
      <w:r>
        <w:rPr>
          <w:rFonts w:ascii="Calibri" w:cs="Calibri" w:eastAsia="Calibri" w:hAnsi="Calibri"/>
          <w:color w:val="0F4C81"/>
          <w:sz w:val="22"/>
          <w:szCs w:val="22"/>
        </w:rPr>
        <w:t xml:space="preserve">Principal Engineer  |  Cloud Native App Architect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Mar>
              <w:top w:type="dxa" w:w="60"/>
              <w:left w:type="dxa" w:w="100"/>
              <w:bottom w:type="dxa" w:w="60"/>
              <w:right w:type="dxa" w:w="100"/>
            </w:tcMar>
          </w:tcPr>
          <w:p>
            <w:pPr>
              <w:spacing w:before="0" w:after="0"/>
              <w:jc w:val="center"/>
            </w:pPr>
            <w:r>
              <w:rPr>
                <w:rFonts w:ascii="Calibri" w:cs="Calibri" w:eastAsia="Calibri" w:hAnsi="Calibri"/>
                <w:color w:val="444444"/>
                <w:sz w:val="18"/>
                <w:szCs w:val="18"/>
              </w:rPr>
              <w:t xml:space="preserve">✉  rkpundhir90@gmail.com</w:t>
            </w:r>
          </w:p>
        </w:tc>
        <w:tc>
          <w:tcPr>
            <w:tcW w:type="dxa" w:w="3120"/>
            <w:tcBorders>
              <w:top w:val="none" w:color="FFFFFF" w:sz="0"/>
              <w:left w:val="none" w:color="FFFFFF" w:sz="0"/>
              <w:bottom w:val="none" w:color="FFFFFF" w:sz="0"/>
              <w:right w:val="none" w:color="FFFFFF" w:sz="0"/>
            </w:tcBorders>
            <w:tcMar>
              <w:top w:type="dxa" w:w="60"/>
              <w:left w:type="dxa" w:w="100"/>
              <w:bottom w:type="dxa" w:w="60"/>
              <w:right w:type="dxa" w:w="100"/>
            </w:tcMar>
          </w:tcPr>
          <w:p>
            <w:pPr>
              <w:spacing w:before="0" w:after="0"/>
              <w:jc w:val="center"/>
            </w:pPr>
            <w:r>
              <w:rPr>
                <w:rFonts w:ascii="Calibri" w:cs="Calibri" w:eastAsia="Calibri" w:hAnsi="Calibri"/>
                <w:color w:val="444444"/>
                <w:sz w:val="18"/>
                <w:szCs w:val="18"/>
              </w:rPr>
              <w:t xml:space="preserve">☎  +91-9873623599</w:t>
            </w:r>
          </w:p>
        </w:tc>
        <w:tc>
          <w:tcPr>
            <w:tcW w:type="dxa" w:w="3120"/>
            <w:tcBorders>
              <w:top w:val="none" w:color="FFFFFF" w:sz="0"/>
              <w:left w:val="none" w:color="FFFFFF" w:sz="0"/>
              <w:bottom w:val="none" w:color="FFFFFF" w:sz="0"/>
              <w:right w:val="none" w:color="FFFFFF" w:sz="0"/>
            </w:tcBorders>
            <w:tcMar>
              <w:top w:type="dxa" w:w="60"/>
              <w:left w:type="dxa" w:w="100"/>
              <w:bottom w:type="dxa" w:w="60"/>
              <w:right w:type="dxa" w:w="100"/>
            </w:tcMar>
          </w:tcPr>
          <w:p>
            <w:pPr>
              <w:spacing w:before="0" w:after="0"/>
              <w:jc w:val="center"/>
            </w:pPr>
            <w:r>
              <w:rPr>
                <w:rFonts w:ascii="Calibri" w:cs="Calibri" w:eastAsia="Calibri" w:hAnsi="Calibri"/>
                <w:color w:val="0F4C81"/>
                <w:sz w:val="18"/>
                <w:szCs w:val="18"/>
              </w:rPr>
              <w:t xml:space="preserve">LinkedIn Profile</w:t>
            </w:r>
          </w:p>
        </w:tc>
      </w:tr>
    </w:tbl>
    <w:p>
      <w:pPr>
        <w:pBdr>
          <w:bottom w:val="single" w:color="0F4C81" w:sz="10" w:space="1"/>
        </w:pBdr>
        <w:spacing w:before="80" w:after="60"/>
      </w:pPr>
      <w:r>
        <w:t xml:space="preserve"/>
      </w:r>
    </w:p>
    <w:p>
      <w:pPr>
        <w:pBdr>
          <w:bottom w:val="single" w:color="0F4C81" w:sz="6" w:space="4"/>
        </w:pBdr>
        <w:spacing w:before="320" w:after="100"/>
      </w:pPr>
      <w:r>
        <w:rPr>
          <w:rFonts w:ascii="Calibri" w:cs="Calibri" w:eastAsia="Calibri" w:hAnsi="Calibri"/>
          <w:b/>
          <w:bCs/>
          <w:color w:val="0F4C81"/>
          <w:spacing w:val="60"/>
          <w:sz w:val="22"/>
          <w:szCs w:val="22"/>
        </w:rPr>
        <w:t xml:space="preserve">PROFESSIONAL SUMMARY</w:t>
      </w:r>
    </w:p>
    <w:p>
      <w:pPr>
        <w:spacing w:before="60" w:after="80"/>
      </w:pPr>
      <w:r>
        <w:rPr>
          <w:rFonts w:ascii="Calibri" w:cs="Calibri" w:eastAsia="Calibri" w:hAnsi="Calibri"/>
          <w:color w:val="444444"/>
          <w:sz w:val="20"/>
          <w:szCs w:val="20"/>
        </w:rPr>
        <w:t xml:space="preserve">Results-driven engineering leader with 11+ years of experience designing and delivering scalable, cloud-native enterprise platforms and SaaS products. Deep expertise in Golang, Java, and distributed systems architecture, with hands-on experience across AWS, Azure, and GCP. Proven track record in AI/ML platform engineering—building data pipelines, model-serving infrastructure, and ML workflows at enterprise scale. Adept at leading cross-functional teams, driving architectural decisions, and shipping production systems that serve millions of users.</w:t>
      </w:r>
    </w:p>
    <w:p>
      <w:pPr>
        <w:pBdr>
          <w:bottom w:val="single" w:color="0F4C81" w:sz="6" w:space="4"/>
        </w:pBdr>
        <w:spacing w:before="320" w:after="100"/>
      </w:pPr>
      <w:r>
        <w:rPr>
          <w:rFonts w:ascii="Calibri" w:cs="Calibri" w:eastAsia="Calibri" w:hAnsi="Calibri"/>
          <w:b/>
          <w:bCs/>
          <w:color w:val="0F4C81"/>
          <w:spacing w:val="60"/>
          <w:sz w:val="22"/>
          <w:szCs w:val="22"/>
        </w:rPr>
        <w:t xml:space="preserve">TECHNICAL SKILLS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9"/>
                <w:szCs w:val="19"/>
              </w:rPr>
              <w:t xml:space="preserve">Languages &amp; Frameworks</w:t>
            </w:r>
          </w:p>
        </w:tc>
        <w:tc>
          <w:tcPr>
            <w:tcW w:type="dxa" w:w="67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vAlign w:val="center"/>
          </w:tcPr>
          <w:p>
            <w:pPr>
              <w:spacing w:before="0" w:after="0"/>
            </w:pPr>
            <w:r>
              <w:rPr>
                <w:rFonts w:ascii="Calibri" w:cs="Calibri" w:eastAsia="Calibri" w:hAnsi="Calibri"/>
                <w:color w:val="444444"/>
                <w:sz w:val="19"/>
                <w:szCs w:val="19"/>
              </w:rPr>
              <w:t xml:space="preserve">Go (Gin, Gorm, gRPC), Java 17 (Spring Boot, Quarkus, Vert.x, Hibernate), React, Redux, Angular</w:t>
            </w:r>
          </w:p>
        </w:tc>
      </w:tr>
      <w:tr>
        <w:tc>
          <w:tcPr>
            <w:tcW w:type="dxa" w:w="26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9"/>
                <w:szCs w:val="19"/>
              </w:rPr>
              <w:t xml:space="preserve">Databases &amp; Storage</w:t>
            </w:r>
          </w:p>
        </w:tc>
        <w:tc>
          <w:tcPr>
            <w:tcW w:type="dxa" w:w="6760"/>
            <w:tcBorders>
              <w:top w:val="single" w:color="C0C8D0" w:sz="1"/>
              <w:left w:val="single" w:color="C0C8D0" w:sz="1"/>
              <w:bottom w:val="single" w:color="C0C8D0" w:sz="1"/>
              <w:right w:val="single" w:color="C0C8D0" w:sz="1"/>
            </w:tcBorders>
            <w:shd w:fill="F7F9FB" w:val="clear"/>
            <w:tcMar>
              <w:top w:type="dxa" w:w="60"/>
              <w:left w:type="dxa" w:w="100"/>
              <w:bottom w:type="dxa" w:w="60"/>
              <w:right w:type="dxa" w:w="100"/>
            </w:tcMar>
            <w:vAlign w:val="center"/>
          </w:tcPr>
          <w:p>
            <w:pPr>
              <w:spacing w:before="0" w:after="0"/>
            </w:pPr>
            <w:r>
              <w:rPr>
                <w:rFonts w:ascii="Calibri" w:cs="Calibri" w:eastAsia="Calibri" w:hAnsi="Calibri"/>
                <w:color w:val="444444"/>
                <w:sz w:val="19"/>
                <w:szCs w:val="19"/>
              </w:rPr>
              <w:t xml:space="preserve">PostgreSQL, Oracle, Azure Cosmos DB, MySQL, Cassandra, JanusGraph, CrateDB, Redis, Elasticsearch</w:t>
            </w:r>
          </w:p>
        </w:tc>
      </w:tr>
      <w:tr>
        <w:tc>
          <w:tcPr>
            <w:tcW w:type="dxa" w:w="26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9"/>
                <w:szCs w:val="19"/>
              </w:rPr>
              <w:t xml:space="preserve">Cloud &amp; Infrastructure</w:t>
            </w:r>
          </w:p>
        </w:tc>
        <w:tc>
          <w:tcPr>
            <w:tcW w:type="dxa" w:w="67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vAlign w:val="center"/>
          </w:tcPr>
          <w:p>
            <w:pPr>
              <w:spacing w:before="0" w:after="0"/>
            </w:pPr>
            <w:r>
              <w:rPr>
                <w:rFonts w:ascii="Calibri" w:cs="Calibri" w:eastAsia="Calibri" w:hAnsi="Calibri"/>
                <w:color w:val="444444"/>
                <w:sz w:val="19"/>
                <w:szCs w:val="19"/>
              </w:rPr>
              <w:t xml:space="preserve">AWS, Azure, GCP, Terraform, Kubernetes, Istio, Helm, Argo CD, Docker, GitOps</w:t>
            </w:r>
          </w:p>
        </w:tc>
      </w:tr>
      <w:tr>
        <w:tc>
          <w:tcPr>
            <w:tcW w:type="dxa" w:w="26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9"/>
                <w:szCs w:val="19"/>
              </w:rPr>
              <w:t xml:space="preserve">Data &amp; Messaging</w:t>
            </w:r>
          </w:p>
        </w:tc>
        <w:tc>
          <w:tcPr>
            <w:tcW w:type="dxa" w:w="6760"/>
            <w:tcBorders>
              <w:top w:val="single" w:color="C0C8D0" w:sz="1"/>
              <w:left w:val="single" w:color="C0C8D0" w:sz="1"/>
              <w:bottom w:val="single" w:color="C0C8D0" w:sz="1"/>
              <w:right w:val="single" w:color="C0C8D0" w:sz="1"/>
            </w:tcBorders>
            <w:shd w:fill="F7F9FB" w:val="clear"/>
            <w:tcMar>
              <w:top w:type="dxa" w:w="60"/>
              <w:left w:type="dxa" w:w="100"/>
              <w:bottom w:type="dxa" w:w="60"/>
              <w:right w:type="dxa" w:w="100"/>
            </w:tcMar>
            <w:vAlign w:val="center"/>
          </w:tcPr>
          <w:p>
            <w:pPr>
              <w:spacing w:before="0" w:after="0"/>
            </w:pPr>
            <w:r>
              <w:rPr>
                <w:rFonts w:ascii="Calibri" w:cs="Calibri" w:eastAsia="Calibri" w:hAnsi="Calibri"/>
                <w:color w:val="444444"/>
                <w:sz w:val="19"/>
                <w:szCs w:val="19"/>
              </w:rPr>
              <w:t xml:space="preserve">Apache Kafka, Apache Spark, Debezium CDC, Apache Flink, Trino, Apache NiFi</w:t>
            </w:r>
          </w:p>
        </w:tc>
      </w:tr>
      <w:tr>
        <w:tc>
          <w:tcPr>
            <w:tcW w:type="dxa" w:w="26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9"/>
                <w:szCs w:val="19"/>
              </w:rPr>
              <w:t xml:space="preserve">AI/ML &amp; Observability</w:t>
            </w:r>
          </w:p>
        </w:tc>
        <w:tc>
          <w:tcPr>
            <w:tcW w:type="dxa" w:w="67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vAlign w:val="center"/>
          </w:tcPr>
          <w:p>
            <w:pPr>
              <w:spacing w:before="0" w:after="0"/>
            </w:pPr>
            <w:r>
              <w:rPr>
                <w:rFonts w:ascii="Calibri" w:cs="Calibri" w:eastAsia="Calibri" w:hAnsi="Calibri"/>
                <w:color w:val="444444"/>
                <w:sz w:val="19"/>
                <w:szCs w:val="19"/>
              </w:rPr>
              <w:t xml:space="preserve">MLOps, Hugging Face, RAPIDS AI, Prometheus, Grafana, Splunk, SIEM</w:t>
            </w:r>
          </w:p>
        </w:tc>
      </w:tr>
      <w:tr>
        <w:tc>
          <w:tcPr>
            <w:tcW w:type="dxa" w:w="26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9"/>
                <w:szCs w:val="19"/>
              </w:rPr>
              <w:t xml:space="preserve">Security &amp; Identity</w:t>
            </w:r>
          </w:p>
        </w:tc>
        <w:tc>
          <w:tcPr>
            <w:tcW w:type="dxa" w:w="6760"/>
            <w:tcBorders>
              <w:top w:val="single" w:color="C0C8D0" w:sz="1"/>
              <w:left w:val="single" w:color="C0C8D0" w:sz="1"/>
              <w:bottom w:val="single" w:color="C0C8D0" w:sz="1"/>
              <w:right w:val="single" w:color="C0C8D0" w:sz="1"/>
            </w:tcBorders>
            <w:shd w:fill="F7F9FB" w:val="clear"/>
            <w:tcMar>
              <w:top w:type="dxa" w:w="60"/>
              <w:left w:type="dxa" w:w="100"/>
              <w:bottom w:type="dxa" w:w="60"/>
              <w:right w:type="dxa" w:w="100"/>
            </w:tcMar>
            <w:vAlign w:val="center"/>
          </w:tcPr>
          <w:p>
            <w:pPr>
              <w:spacing w:before="0" w:after="0"/>
            </w:pPr>
            <w:r>
              <w:rPr>
                <w:rFonts w:ascii="Calibri" w:cs="Calibri" w:eastAsia="Calibri" w:hAnsi="Calibri"/>
                <w:color w:val="444444"/>
                <w:sz w:val="19"/>
                <w:szCs w:val="19"/>
              </w:rPr>
              <w:t xml:space="preserve">OAuth2, OIDC, Okta, Keycloak, Azure AD, RBAC, Kerberos, Apache Ranger</w:t>
            </w:r>
          </w:p>
        </w:tc>
      </w:tr>
      <w:tr>
        <w:tc>
          <w:tcPr>
            <w:tcW w:type="dxa" w:w="26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9"/>
                <w:szCs w:val="19"/>
              </w:rPr>
              <w:t xml:space="preserve">AI Editors &amp; Assistants</w:t>
            </w:r>
          </w:p>
        </w:tc>
        <w:tc>
          <w:tcPr>
            <w:tcW w:type="dxa" w:w="67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vAlign w:val="center"/>
          </w:tcPr>
          <w:p>
            <w:pPr>
              <w:spacing w:before="0" w:after="0"/>
            </w:pPr>
            <w:r>
              <w:rPr>
                <w:rFonts w:ascii="Calibri" w:cs="Calibri" w:eastAsia="Calibri" w:hAnsi="Calibri"/>
                <w:color w:val="444444"/>
                <w:sz w:val="19"/>
                <w:szCs w:val="19"/>
              </w:rPr>
              <w:t xml:space="preserve">VS Code with Claude Code, OpenAI Codex, Cursor, Antigravity</w:t>
            </w:r>
          </w:p>
        </w:tc>
      </w:tr>
      <w:tr>
        <w:tc>
          <w:tcPr>
            <w:tcW w:type="dxa" w:w="26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9"/>
                <w:szCs w:val="19"/>
              </w:rPr>
              <w:t xml:space="preserve">Architecture Patterns</w:t>
            </w:r>
          </w:p>
        </w:tc>
        <w:tc>
          <w:tcPr>
            <w:tcW w:type="dxa" w:w="6760"/>
            <w:tcBorders>
              <w:top w:val="single" w:color="C0C8D0" w:sz="1"/>
              <w:left w:val="single" w:color="C0C8D0" w:sz="1"/>
              <w:bottom w:val="single" w:color="C0C8D0" w:sz="1"/>
              <w:right w:val="single" w:color="C0C8D0" w:sz="1"/>
            </w:tcBorders>
            <w:shd w:fill="F7F9FB" w:val="clear"/>
            <w:tcMar>
              <w:top w:type="dxa" w:w="60"/>
              <w:left w:type="dxa" w:w="100"/>
              <w:bottom w:type="dxa" w:w="60"/>
              <w:right w:type="dxa" w:w="100"/>
            </w:tcMar>
            <w:vAlign w:val="center"/>
          </w:tcPr>
          <w:p>
            <w:pPr>
              <w:spacing w:before="0" w:after="0"/>
            </w:pPr>
            <w:r>
              <w:rPr>
                <w:rFonts w:ascii="Calibri" w:cs="Calibri" w:eastAsia="Calibri" w:hAnsi="Calibri"/>
                <w:color w:val="444444"/>
                <w:sz w:val="19"/>
                <w:szCs w:val="19"/>
              </w:rPr>
              <w:t xml:space="preserve">Microservices, Event-Driven, SaaS Multi-Tenant, SOA, Saga Pattern</w:t>
            </w:r>
          </w:p>
        </w:tc>
      </w:tr>
      <w:tr>
        <w:tc>
          <w:tcPr>
            <w:tcW w:type="dxa" w:w="26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9"/>
                <w:szCs w:val="19"/>
              </w:rPr>
              <w:t xml:space="preserve">Domains</w:t>
            </w:r>
          </w:p>
        </w:tc>
        <w:tc>
          <w:tcPr>
            <w:tcW w:type="dxa" w:w="67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vAlign w:val="center"/>
          </w:tcPr>
          <w:p>
            <w:pPr>
              <w:spacing w:before="0" w:after="0"/>
            </w:pPr>
            <w:r>
              <w:rPr>
                <w:rFonts w:ascii="Calibri" w:cs="Calibri" w:eastAsia="Calibri" w:hAnsi="Calibri"/>
                <w:color w:val="444444"/>
                <w:sz w:val="19"/>
                <w:szCs w:val="19"/>
              </w:rPr>
              <w:t xml:space="preserve">AI/ML Platforms, Industrial IoT, Security/AppSec, IAM, Insurance, HR, Finance, Telecom, Healthcare</w:t>
            </w:r>
          </w:p>
        </w:tc>
      </w:tr>
    </w:tbl>
    <w:p>
      <w:pPr>
        <w:pBdr>
          <w:bottom w:val="single" w:color="0F4C81" w:sz="6" w:space="4"/>
        </w:pBdr>
        <w:spacing w:before="320" w:after="100"/>
      </w:pPr>
      <w:r>
        <w:rPr>
          <w:rFonts w:ascii="Calibri" w:cs="Calibri" w:eastAsia="Calibri" w:hAnsi="Calibri"/>
          <w:b/>
          <w:bCs/>
          <w:color w:val="0F4C81"/>
          <w:spacing w:val="60"/>
          <w:sz w:val="22"/>
          <w:szCs w:val="22"/>
        </w:rPr>
        <w:t xml:space="preserve">PROFESSIONAL EXPERIENCE</w:t>
      </w:r>
    </w:p>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600"/>
        <w:gridCol w:w="2760"/>
      </w:tblGrid>
      <w:tr>
        <w:tc>
          <w:tcPr>
            <w:tcW w:type="dxa" w:w="6600"/>
            <w:tcBorders>
              <w:top w:val="none" w:color="FFFFFF" w:sz="0"/>
              <w:left w:val="none" w:color="FFFFFF" w:sz="0"/>
              <w:bottom w:val="none" w:color="FFFFFF" w:sz="0"/>
              <w:right w:val="none" w:color="FFFFFF" w:sz="0"/>
            </w:tcBorders>
            <w:shd w:fill="0F4C81" w:val="clear"/>
            <w:tcMar>
              <w:top w:type="dxa" w:w="80"/>
              <w:left w:type="dxa" w:w="140"/>
              <w:bottom w:type="dxa" w:w="80"/>
              <w:right w:type="dxa" w:w="100"/>
            </w:tcMar>
            <w:vAlign w:val="center"/>
          </w:tcPr>
          <w:p>
            <w:pPr>
              <w:spacing w:before="0" w:after="0"/>
            </w:pPr>
            <w:r>
              <w:rPr>
                <w:rFonts w:ascii="Calibri" w:cs="Calibri" w:eastAsia="Calibri" w:hAnsi="Calibri"/>
                <w:b/>
                <w:bCs/>
                <w:color w:val="FFFFFF"/>
                <w:sz w:val="22"/>
                <w:szCs w:val="22"/>
              </w:rPr>
              <w:t xml:space="preserve">GlobalLogic India</w:t>
            </w:r>
            <w:r>
              <w:rPr>
                <w:rFonts w:ascii="Calibri" w:cs="Calibri" w:eastAsia="Calibri" w:hAnsi="Calibri"/>
                <w:color w:val="B8D4E8"/>
                <w:sz w:val="18"/>
                <w:szCs w:val="18"/>
              </w:rPr>
              <w:t xml:space="preserve">  —  Noida</w:t>
            </w:r>
          </w:p>
        </w:tc>
        <w:tc>
          <w:tcPr>
            <w:tcW w:type="dxa" w:w="2760"/>
            <w:tcBorders>
              <w:top w:val="none" w:color="FFFFFF" w:sz="0"/>
              <w:left w:val="none" w:color="FFFFFF" w:sz="0"/>
              <w:bottom w:val="none" w:color="FFFFFF" w:sz="0"/>
              <w:right w:val="none" w:color="FFFFFF" w:sz="0"/>
            </w:tcBorders>
            <w:shd w:fill="0F4C81" w:val="clear"/>
            <w:tcMar>
              <w:top w:type="dxa" w:w="80"/>
              <w:left w:type="dxa" w:w="100"/>
              <w:bottom w:type="dxa" w:w="80"/>
              <w:right w:type="dxa" w:w="140"/>
            </w:tcMar>
            <w:vAlign w:val="center"/>
          </w:tcPr>
          <w:p>
            <w:pPr>
              <w:spacing w:before="0" w:after="0"/>
              <w:jc w:val="right"/>
            </w:pPr>
            <w:r>
              <w:rPr>
                <w:rFonts w:ascii="Calibri" w:cs="Calibri" w:eastAsia="Calibri" w:hAnsi="Calibri"/>
                <w:b/>
                <w:bCs/>
                <w:color w:val="FFFFFF"/>
                <w:sz w:val="18"/>
                <w:szCs w:val="18"/>
              </w:rPr>
              <w:t xml:space="preserve">Jan 2025 – Present</w:t>
            </w:r>
          </w:p>
        </w:tc>
      </w:tr>
    </w:tbl>
    <w:p>
      <w:pPr>
        <w:spacing w:before="100" w:after="40"/>
      </w:pPr>
      <w:r>
        <w:rPr>
          <w:rFonts w:ascii="Calibri" w:cs="Calibri" w:eastAsia="Calibri" w:hAnsi="Calibri"/>
          <w:b/>
          <w:bCs/>
          <w:color w:val="1A1A2E"/>
          <w:sz w:val="20"/>
          <w:szCs w:val="20"/>
        </w:rPr>
        <w:t xml:space="preserve">Project #1: Civica Learning Management System  |  Client: Civica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Role</w:t>
            </w:r>
          </w:p>
        </w:tc>
        <w:tc>
          <w:tcPr>
            <w:tcW w:type="dxa" w:w="71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Principal Engineer</w:t>
            </w:r>
          </w:p>
        </w:tc>
      </w:tr>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Duration</w:t>
            </w:r>
          </w:p>
        </w:tc>
        <w:tc>
          <w:tcPr>
            <w:tcW w:type="dxa" w:w="7160"/>
            <w:tcBorders>
              <w:top w:val="single" w:color="C0C8D0" w:sz="1"/>
              <w:left w:val="single" w:color="C0C8D0" w:sz="1"/>
              <w:bottom w:val="single" w:color="C0C8D0" w:sz="1"/>
              <w:right w:val="single" w:color="C0C8D0" w:sz="1"/>
            </w:tcBorders>
            <w:shd w:fill="F7F9FB"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Feb 2026 – Present</w:t>
            </w:r>
          </w:p>
        </w:tc>
      </w:tr>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Tech Stack</w:t>
            </w:r>
          </w:p>
        </w:tc>
        <w:tc>
          <w:tcPr>
            <w:tcW w:type="dxa" w:w="71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Go, PostgreSQL, Elasticsearch, MongoDB, Azure, AWS, Redis</w:t>
            </w:r>
          </w:p>
        </w:tc>
      </w:tr>
    </w:tbl>
    <w:p>
      <w:pPr>
        <w:spacing w:before="80" w:after="80"/>
      </w:pPr>
      <w:r>
        <w:rPr>
          <w:rFonts w:ascii="Calibri" w:cs="Calibri" w:eastAsia="Calibri" w:hAnsi="Calibri"/>
          <w:b/>
          <w:bCs/>
          <w:color w:val="1A1A2E"/>
          <w:sz w:val="19"/>
          <w:szCs w:val="19"/>
        </w:rPr>
        <w:t xml:space="preserve">Project Description: </w:t>
      </w:r>
      <w:r>
        <w:rPr>
          <w:rFonts w:ascii="Calibri" w:cs="Calibri" w:eastAsia="Calibri" w:hAnsi="Calibri"/>
          <w:color w:val="444444"/>
          <w:sz w:val="19"/>
          <w:szCs w:val="19"/>
        </w:rPr>
        <w:t xml:space="preserve">Civica LMS is a comprehensive Learning Management System designed to serve three distinct personas—Admin, Learner, and Sales. The platform empowers administrators to configure and manage courses, curricula, certifications, and compliance training across organizations. Learners access personalized learning paths, track progress, and earn certifications through an intuitive self-service portal. The Sales persona enables commercial teams to manage client onboarding, license provisioning, and subscription management. The system is built for multi-tenant SaaS deployment with role-based access, full-text search across learning catalogs, and real-time analytics dashboards.</w:t>
      </w:r>
    </w:p>
    <w:p>
      <w:pPr>
        <w:spacing w:before="60" w:after="30"/>
      </w:pPr>
      <w:r>
        <w:rPr>
          <w:rFonts w:ascii="Calibri" w:cs="Calibri" w:eastAsia="Calibri" w:hAnsi="Calibri"/>
          <w:b/>
          <w:bCs/>
          <w:color w:val="1A1A2E"/>
          <w:sz w:val="19"/>
          <w:szCs w:val="19"/>
        </w:rPr>
        <w:t xml:space="preserve">Key Contributions:</w:t>
      </w:r>
    </w:p>
    <w:p>
      <w:pPr>
        <w:pStyle w:val="ListParagraph"/>
        <w:numPr>
          <w:ilvl w:val="0"/>
          <w:numId w:val="2"/>
        </w:numPr>
        <w:spacing w:before="30" w:after="30"/>
      </w:pPr>
      <w:r>
        <w:rPr>
          <w:rFonts w:ascii="Calibri" w:cs="Calibri" w:eastAsia="Calibri" w:hAnsi="Calibri"/>
          <w:color w:val="444444"/>
          <w:sz w:val="19"/>
          <w:szCs w:val="19"/>
        </w:rPr>
        <w:t xml:space="preserve">Leading end-to-end platform architecture for a multi-tenant LMS serving Admin, Learner, and Sales personas with role-based access control and isolated data concerns.</w:t>
      </w:r>
    </w:p>
    <w:p>
      <w:pPr>
        <w:pStyle w:val="ListParagraph"/>
        <w:numPr>
          <w:ilvl w:val="0"/>
          <w:numId w:val="2"/>
        </w:numPr>
        <w:spacing w:before="30" w:after="30"/>
      </w:pPr>
      <w:r>
        <w:rPr>
          <w:rFonts w:ascii="Calibri" w:cs="Calibri" w:eastAsia="Calibri" w:hAnsi="Calibri"/>
          <w:color w:val="444444"/>
          <w:sz w:val="19"/>
          <w:szCs w:val="19"/>
        </w:rPr>
        <w:t xml:space="preserve">Designing scalable microservices in Go with PostgreSQL for transactional data, MongoDB for flexible content models, and Elasticsearch for full-text search across learning catalogs.</w:t>
      </w:r>
    </w:p>
    <w:p>
      <w:pPr>
        <w:pStyle w:val="ListParagraph"/>
        <w:numPr>
          <w:ilvl w:val="0"/>
          <w:numId w:val="2"/>
        </w:numPr>
        <w:spacing w:before="30" w:after="30"/>
      </w:pPr>
      <w:r>
        <w:rPr>
          <w:rFonts w:ascii="Calibri" w:cs="Calibri" w:eastAsia="Calibri" w:hAnsi="Calibri"/>
          <w:color w:val="444444"/>
          <w:sz w:val="19"/>
          <w:szCs w:val="19"/>
        </w:rPr>
        <w:t xml:space="preserve">Architecting a hybrid cloud deployment strategy across Azure and AWS, leveraging Redis for caching, session management, and real-time leaderboard computations.</w:t>
      </w:r>
    </w:p>
    <w:p>
      <w:pPr>
        <w:pStyle w:val="ListParagraph"/>
        <w:numPr>
          <w:ilvl w:val="0"/>
          <w:numId w:val="2"/>
        </w:numPr>
        <w:spacing w:before="30" w:after="30"/>
      </w:pPr>
      <w:r>
        <w:rPr>
          <w:rFonts w:ascii="Calibri" w:cs="Calibri" w:eastAsia="Calibri" w:hAnsi="Calibri"/>
          <w:color w:val="444444"/>
          <w:sz w:val="19"/>
          <w:szCs w:val="19"/>
        </w:rPr>
        <w:t xml:space="preserve">Building course lifecycle management workflows including authoring, versioning, publishing, enrollment, progress tracking, and certification issuance.</w:t>
      </w:r>
    </w:p>
    <w:p>
      <w:pPr>
        <w:pStyle w:val="ListParagraph"/>
        <w:numPr>
          <w:ilvl w:val="0"/>
          <w:numId w:val="2"/>
        </w:numPr>
        <w:spacing w:before="30" w:after="30"/>
      </w:pPr>
      <w:r>
        <w:rPr>
          <w:rFonts w:ascii="Calibri" w:cs="Calibri" w:eastAsia="Calibri" w:hAnsi="Calibri"/>
          <w:color w:val="444444"/>
          <w:sz w:val="19"/>
          <w:szCs w:val="19"/>
        </w:rPr>
        <w:t xml:space="preserve">Implementing analytics and reporting pipelines for learner engagement metrics, compliance tracking, and sales funnel visibility across organizations.</w:t>
      </w:r>
    </w:p>
    <w:p>
      <w:pPr>
        <w:pStyle w:val="ListParagraph"/>
        <w:numPr>
          <w:ilvl w:val="0"/>
          <w:numId w:val="2"/>
        </w:numPr>
        <w:spacing w:before="30" w:after="30"/>
      </w:pPr>
      <w:r>
        <w:rPr>
          <w:rFonts w:ascii="Calibri" w:cs="Calibri" w:eastAsia="Calibri" w:hAnsi="Calibri"/>
          <w:color w:val="444444"/>
          <w:sz w:val="19"/>
          <w:szCs w:val="19"/>
        </w:rPr>
        <w:t xml:space="preserve">Driving API-first design principles enabling seamless integration with third-party HRMS, CRM, and content providers.</w:t>
      </w:r>
    </w:p>
    <w:p>
      <w:pPr>
        <w:spacing w:before="160" w:after="40"/>
      </w:pPr>
      <w:r>
        <w:rPr>
          <w:rFonts w:ascii="Calibri" w:cs="Calibri" w:eastAsia="Calibri" w:hAnsi="Calibri"/>
          <w:b/>
          <w:bCs/>
          <w:color w:val="1A1A2E"/>
          <w:sz w:val="20"/>
          <w:szCs w:val="20"/>
        </w:rPr>
        <w:t xml:space="preserve">Project #2: AI/ML Platform  |  Client: Cloudera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Role</w:t>
            </w:r>
          </w:p>
        </w:tc>
        <w:tc>
          <w:tcPr>
            <w:tcW w:type="dxa" w:w="71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Sr Lead Engineer</w:t>
            </w:r>
          </w:p>
        </w:tc>
      </w:tr>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Duration</w:t>
            </w:r>
          </w:p>
        </w:tc>
        <w:tc>
          <w:tcPr>
            <w:tcW w:type="dxa" w:w="7160"/>
            <w:tcBorders>
              <w:top w:val="single" w:color="C0C8D0" w:sz="1"/>
              <w:left w:val="single" w:color="C0C8D0" w:sz="1"/>
              <w:bottom w:val="single" w:color="C0C8D0" w:sz="1"/>
              <w:right w:val="single" w:color="C0C8D0" w:sz="1"/>
            </w:tcBorders>
            <w:shd w:fill="F7F9FB"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Jan 2025 – Jan 2026</w:t>
            </w:r>
          </w:p>
        </w:tc>
      </w:tr>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Team Size</w:t>
            </w:r>
          </w:p>
        </w:tc>
        <w:tc>
          <w:tcPr>
            <w:tcW w:type="dxa" w:w="71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15</w:t>
            </w:r>
          </w:p>
        </w:tc>
      </w:tr>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Tech Stack</w:t>
            </w:r>
          </w:p>
        </w:tc>
        <w:tc>
          <w:tcPr>
            <w:tcW w:type="dxa" w:w="7160"/>
            <w:tcBorders>
              <w:top w:val="single" w:color="C0C8D0" w:sz="1"/>
              <w:left w:val="single" w:color="C0C8D0" w:sz="1"/>
              <w:bottom w:val="single" w:color="C0C8D0" w:sz="1"/>
              <w:right w:val="single" w:color="C0C8D0" w:sz="1"/>
            </w:tcBorders>
            <w:shd w:fill="F7F9FB"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Golang/Gin/Gorm, PostgreSQL, Kafka, Docker, Kubernetes, AWS/Azure/GCP, gRPC, Terraform, Okta</w:t>
            </w:r>
          </w:p>
        </w:tc>
      </w:tr>
    </w:tbl>
    <w:p>
      <w:pPr>
        <w:spacing w:before="80" w:after="80"/>
      </w:pPr>
      <w:r>
        <w:rPr>
          <w:rFonts w:ascii="Calibri" w:cs="Calibri" w:eastAsia="Calibri" w:hAnsi="Calibri"/>
          <w:b/>
          <w:bCs/>
          <w:color w:val="1A1A2E"/>
          <w:sz w:val="19"/>
          <w:szCs w:val="19"/>
        </w:rPr>
        <w:t xml:space="preserve">Project Description: </w:t>
      </w:r>
      <w:r>
        <w:rPr>
          <w:rFonts w:ascii="Calibri" w:cs="Calibri" w:eastAsia="Calibri" w:hAnsi="Calibri"/>
          <w:color w:val="444444"/>
          <w:sz w:val="19"/>
          <w:szCs w:val="19"/>
        </w:rPr>
        <w:t xml:space="preserve">The ML/AI Platform focuses on automating the provisioning, scaling, and management of ML/AI infrastructure to streamline the deployment and execution of machine learning models. The platform enables data scientists and ML engineers to provision GPU/CPU-based compute environments, manage datasets, and orchestrate AI workflows seamlessly. It integrates with cloud services to support scalable AI workloads, ensuring optimized resource allocation and cost efficiency. Key features include self-service AI infrastructure, multi-cloud and on-premise support, model lifecycle management, GPU and distributed training optimization, and enterprise security and compliance (RBAC, encryption, auditing).</w:t>
      </w:r>
    </w:p>
    <w:p>
      <w:pPr>
        <w:spacing w:before="60" w:after="30"/>
      </w:pPr>
      <w:r>
        <w:rPr>
          <w:rFonts w:ascii="Calibri" w:cs="Calibri" w:eastAsia="Calibri" w:hAnsi="Calibri"/>
          <w:b/>
          <w:bCs/>
          <w:color w:val="1A1A2E"/>
          <w:sz w:val="19"/>
          <w:szCs w:val="19"/>
        </w:rPr>
        <w:t xml:space="preserve">Key Contributions:</w:t>
      </w:r>
    </w:p>
    <w:p>
      <w:pPr>
        <w:pStyle w:val="ListParagraph"/>
        <w:numPr>
          <w:ilvl w:val="0"/>
          <w:numId w:val="2"/>
        </w:numPr>
        <w:spacing w:before="30" w:after="30"/>
      </w:pPr>
      <w:r>
        <w:rPr>
          <w:rFonts w:ascii="Calibri" w:cs="Calibri" w:eastAsia="Calibri" w:hAnsi="Calibri"/>
          <w:color w:val="444444"/>
          <w:sz w:val="19"/>
          <w:szCs w:val="19"/>
        </w:rPr>
        <w:t xml:space="preserve">Architected a scalable AI/ML platform on Cloudera automating provisioning, scaling, and lifecycle management of ML infrastructure across multi-cloud and on-premise Kubernetes clusters.</w:t>
      </w:r>
    </w:p>
    <w:p>
      <w:pPr>
        <w:pStyle w:val="ListParagraph"/>
        <w:numPr>
          <w:ilvl w:val="0"/>
          <w:numId w:val="2"/>
        </w:numPr>
        <w:spacing w:before="30" w:after="30"/>
      </w:pPr>
      <w:r>
        <w:rPr>
          <w:rFonts w:ascii="Calibri" w:cs="Calibri" w:eastAsia="Calibri" w:hAnsi="Calibri"/>
          <w:color w:val="444444"/>
          <w:sz w:val="19"/>
          <w:szCs w:val="19"/>
        </w:rPr>
        <w:t xml:space="preserve">Designed self-service AI infrastructure enabling data scientists to provision GPU/CPU compute environments, manage datasets, and orchestrate end-to-end ML workflows.</w:t>
      </w:r>
    </w:p>
    <w:p>
      <w:pPr>
        <w:pStyle w:val="ListParagraph"/>
        <w:numPr>
          <w:ilvl w:val="0"/>
          <w:numId w:val="2"/>
        </w:numPr>
        <w:spacing w:before="30" w:after="30"/>
      </w:pPr>
      <w:r>
        <w:rPr>
          <w:rFonts w:ascii="Calibri" w:cs="Calibri" w:eastAsia="Calibri" w:hAnsi="Calibri"/>
          <w:color w:val="444444"/>
          <w:sz w:val="19"/>
          <w:szCs w:val="19"/>
        </w:rPr>
        <w:t xml:space="preserve">Implemented MLOps CI/CD pipelines using Cloudera ML Pipelines and Airflow to automate model training, versioning, deployment, and monitoring.</w:t>
      </w:r>
    </w:p>
    <w:p>
      <w:pPr>
        <w:pStyle w:val="ListParagraph"/>
        <w:numPr>
          <w:ilvl w:val="0"/>
          <w:numId w:val="2"/>
        </w:numPr>
        <w:spacing w:before="30" w:after="30"/>
      </w:pPr>
      <w:r>
        <w:rPr>
          <w:rFonts w:ascii="Calibri" w:cs="Calibri" w:eastAsia="Calibri" w:hAnsi="Calibri"/>
          <w:color w:val="444444"/>
          <w:sz w:val="19"/>
          <w:szCs w:val="19"/>
        </w:rPr>
        <w:t xml:space="preserve">Led integration of Hugging Face and LLM fine-tuning on Cloudera ML Workspaces, optimizing transformer-based NLP models for enterprise inference.</w:t>
      </w:r>
    </w:p>
    <w:p>
      <w:pPr>
        <w:pStyle w:val="ListParagraph"/>
        <w:numPr>
          <w:ilvl w:val="0"/>
          <w:numId w:val="2"/>
        </w:numPr>
        <w:spacing w:before="30" w:after="30"/>
      </w:pPr>
      <w:r>
        <w:rPr>
          <w:rFonts w:ascii="Calibri" w:cs="Calibri" w:eastAsia="Calibri" w:hAnsi="Calibri"/>
          <w:color w:val="444444"/>
          <w:sz w:val="19"/>
          <w:szCs w:val="19"/>
        </w:rPr>
        <w:t xml:space="preserve">Architected real-time AI inference and stream processing pipelines using Kafka, Flink, and Cloudera DataFlow for low-latency model serving.</w:t>
      </w:r>
    </w:p>
    <w:p>
      <w:pPr>
        <w:pStyle w:val="ListParagraph"/>
        <w:numPr>
          <w:ilvl w:val="0"/>
          <w:numId w:val="2"/>
        </w:numPr>
        <w:spacing w:before="30" w:after="30"/>
      </w:pPr>
      <w:r>
        <w:rPr>
          <w:rFonts w:ascii="Calibri" w:cs="Calibri" w:eastAsia="Calibri" w:hAnsi="Calibri"/>
          <w:color w:val="444444"/>
          <w:sz w:val="19"/>
          <w:szCs w:val="19"/>
        </w:rPr>
        <w:t xml:space="preserve">Implemented enterprise security and compliance (RBAC, Kerberos, Ranger, SDX) ensuring GDPR and HIPAA governance across all AI workloads.</w:t>
      </w:r>
    </w:p>
    <w:p>
      <w:pPr>
        <w:pStyle w:val="ListParagraph"/>
        <w:numPr>
          <w:ilvl w:val="0"/>
          <w:numId w:val="2"/>
        </w:numPr>
        <w:spacing w:before="30" w:after="30"/>
      </w:pPr>
      <w:r>
        <w:rPr>
          <w:rFonts w:ascii="Calibri" w:cs="Calibri" w:eastAsia="Calibri" w:hAnsi="Calibri"/>
          <w:color w:val="444444"/>
          <w:sz w:val="19"/>
          <w:szCs w:val="19"/>
        </w:rPr>
        <w:t xml:space="preserve">Enabled AI observability with Prometheus and Grafana to monitor pipeline health, model drift, and resource utilization.</w:t>
      </w:r>
    </w:p>
    <w:p>
      <w:pPr>
        <w:spacing w:before="2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600"/>
        <w:gridCol w:w="2760"/>
      </w:tblGrid>
      <w:tr>
        <w:tc>
          <w:tcPr>
            <w:tcW w:type="dxa" w:w="6600"/>
            <w:tcBorders>
              <w:top w:val="none" w:color="FFFFFF" w:sz="0"/>
              <w:left w:val="none" w:color="FFFFFF" w:sz="0"/>
              <w:bottom w:val="none" w:color="FFFFFF" w:sz="0"/>
              <w:right w:val="none" w:color="FFFFFF" w:sz="0"/>
            </w:tcBorders>
            <w:shd w:fill="0F4C81" w:val="clear"/>
            <w:tcMar>
              <w:top w:type="dxa" w:w="80"/>
              <w:left w:type="dxa" w:w="140"/>
              <w:bottom w:type="dxa" w:w="80"/>
              <w:right w:type="dxa" w:w="100"/>
            </w:tcMar>
            <w:vAlign w:val="center"/>
          </w:tcPr>
          <w:p>
            <w:pPr>
              <w:spacing w:before="0" w:after="0"/>
            </w:pPr>
            <w:r>
              <w:rPr>
                <w:rFonts w:ascii="Calibri" w:cs="Calibri" w:eastAsia="Calibri" w:hAnsi="Calibri"/>
                <w:b/>
                <w:bCs/>
                <w:color w:val="FFFFFF"/>
                <w:sz w:val="22"/>
                <w:szCs w:val="22"/>
              </w:rPr>
              <w:t xml:space="preserve">Capgemini India</w:t>
            </w:r>
            <w:r>
              <w:rPr>
                <w:rFonts w:ascii="Calibri" w:cs="Calibri" w:eastAsia="Calibri" w:hAnsi="Calibri"/>
                <w:color w:val="B8D4E8"/>
                <w:sz w:val="18"/>
                <w:szCs w:val="18"/>
              </w:rPr>
              <w:t xml:space="preserve">  —  Gurgaon</w:t>
            </w:r>
          </w:p>
        </w:tc>
        <w:tc>
          <w:tcPr>
            <w:tcW w:type="dxa" w:w="2760"/>
            <w:tcBorders>
              <w:top w:val="none" w:color="FFFFFF" w:sz="0"/>
              <w:left w:val="none" w:color="FFFFFF" w:sz="0"/>
              <w:bottom w:val="none" w:color="FFFFFF" w:sz="0"/>
              <w:right w:val="none" w:color="FFFFFF" w:sz="0"/>
            </w:tcBorders>
            <w:shd w:fill="0F4C81" w:val="clear"/>
            <w:tcMar>
              <w:top w:type="dxa" w:w="80"/>
              <w:left w:type="dxa" w:w="100"/>
              <w:bottom w:type="dxa" w:w="80"/>
              <w:right w:type="dxa" w:w="140"/>
            </w:tcMar>
            <w:vAlign w:val="center"/>
          </w:tcPr>
          <w:p>
            <w:pPr>
              <w:spacing w:before="0" w:after="0"/>
              <w:jc w:val="right"/>
            </w:pPr>
            <w:r>
              <w:rPr>
                <w:rFonts w:ascii="Calibri" w:cs="Calibri" w:eastAsia="Calibri" w:hAnsi="Calibri"/>
                <w:b/>
                <w:bCs/>
                <w:color w:val="FFFFFF"/>
                <w:sz w:val="18"/>
                <w:szCs w:val="18"/>
              </w:rPr>
              <w:t xml:space="preserve">Jan 2022 – Jan 2025</w:t>
            </w:r>
          </w:p>
        </w:tc>
      </w:tr>
    </w:tbl>
    <w:p>
      <w:pPr>
        <w:spacing w:before="100" w:after="40"/>
      </w:pPr>
      <w:r>
        <w:rPr>
          <w:rFonts w:ascii="Calibri" w:cs="Calibri" w:eastAsia="Calibri" w:hAnsi="Calibri"/>
          <w:b/>
          <w:bCs/>
          <w:color w:val="1A1A2E"/>
          <w:sz w:val="20"/>
          <w:szCs w:val="20"/>
        </w:rPr>
        <w:t xml:space="preserve">Project #1: Device Context Platform  |  Client: Cisco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Role</w:t>
            </w:r>
          </w:p>
        </w:tc>
        <w:tc>
          <w:tcPr>
            <w:tcW w:type="dxa" w:w="71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Sr Engineer</w:t>
            </w:r>
          </w:p>
        </w:tc>
      </w:tr>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Duration</w:t>
            </w:r>
          </w:p>
        </w:tc>
        <w:tc>
          <w:tcPr>
            <w:tcW w:type="dxa" w:w="7160"/>
            <w:tcBorders>
              <w:top w:val="single" w:color="C0C8D0" w:sz="1"/>
              <w:left w:val="single" w:color="C0C8D0" w:sz="1"/>
              <w:bottom w:val="single" w:color="C0C8D0" w:sz="1"/>
              <w:right w:val="single" w:color="C0C8D0" w:sz="1"/>
            </w:tcBorders>
            <w:shd w:fill="F7F9FB"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May 2024 – Dec 2024</w:t>
            </w:r>
          </w:p>
        </w:tc>
      </w:tr>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Team Size</w:t>
            </w:r>
          </w:p>
        </w:tc>
        <w:tc>
          <w:tcPr>
            <w:tcW w:type="dxa" w:w="71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5</w:t>
            </w:r>
          </w:p>
        </w:tc>
      </w:tr>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Tech Stack</w:t>
            </w:r>
          </w:p>
        </w:tc>
        <w:tc>
          <w:tcPr>
            <w:tcW w:type="dxa" w:w="7160"/>
            <w:tcBorders>
              <w:top w:val="single" w:color="C0C8D0" w:sz="1"/>
              <w:left w:val="single" w:color="C0C8D0" w:sz="1"/>
              <w:bottom w:val="single" w:color="C0C8D0" w:sz="1"/>
              <w:right w:val="single" w:color="C0C8D0" w:sz="1"/>
            </w:tcBorders>
            <w:shd w:fill="F7F9FB"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Golang/Gin/Gorm, PostgreSQL, Kafka, Docker, Kubernetes, AWS, Memcache, React, GitOps, Okta, Terraform</w:t>
            </w:r>
          </w:p>
        </w:tc>
      </w:tr>
    </w:tbl>
    <w:p>
      <w:pPr>
        <w:spacing w:before="80" w:after="80"/>
      </w:pPr>
      <w:r>
        <w:rPr>
          <w:rFonts w:ascii="Calibri" w:cs="Calibri" w:eastAsia="Calibri" w:hAnsi="Calibri"/>
          <w:b/>
          <w:bCs/>
          <w:color w:val="1A1A2E"/>
          <w:sz w:val="19"/>
          <w:szCs w:val="19"/>
        </w:rPr>
        <w:t xml:space="preserve">Project Description: </w:t>
      </w:r>
      <w:r>
        <w:rPr>
          <w:rFonts w:ascii="Calibri" w:cs="Calibri" w:eastAsia="Calibri" w:hAnsi="Calibri"/>
          <w:color w:val="444444"/>
          <w:sz w:val="19"/>
          <w:szCs w:val="19"/>
        </w:rPr>
        <w:t xml:space="preserve">Developed a Device Context Platform that periodically collects data from devices to ensure RBAC and PBAC enforcement, simulates user behavior, and manages access control across Cisco’s security product ecosystem.</w:t>
      </w:r>
    </w:p>
    <w:p>
      <w:pPr>
        <w:spacing w:before="60" w:after="30"/>
      </w:pPr>
      <w:r>
        <w:rPr>
          <w:rFonts w:ascii="Calibri" w:cs="Calibri" w:eastAsia="Calibri" w:hAnsi="Calibri"/>
          <w:b/>
          <w:bCs/>
          <w:color w:val="1A1A2E"/>
          <w:sz w:val="19"/>
          <w:szCs w:val="19"/>
        </w:rPr>
        <w:t xml:space="preserve">Key Contributions:</w:t>
      </w:r>
    </w:p>
    <w:p>
      <w:pPr>
        <w:pStyle w:val="ListParagraph"/>
        <w:numPr>
          <w:ilvl w:val="0"/>
          <w:numId w:val="2"/>
        </w:numPr>
        <w:spacing w:before="30" w:after="30"/>
      </w:pPr>
      <w:r>
        <w:rPr>
          <w:rFonts w:ascii="Calibri" w:cs="Calibri" w:eastAsia="Calibri" w:hAnsi="Calibri"/>
          <w:color w:val="444444"/>
          <w:sz w:val="19"/>
          <w:szCs w:val="19"/>
        </w:rPr>
        <w:t xml:space="preserve">Led requirements gathering, architectural design, and PoC validation for the platform.</w:t>
      </w:r>
    </w:p>
    <w:p>
      <w:pPr>
        <w:pStyle w:val="ListParagraph"/>
        <w:numPr>
          <w:ilvl w:val="0"/>
          <w:numId w:val="2"/>
        </w:numPr>
        <w:spacing w:before="30" w:after="30"/>
      </w:pPr>
      <w:r>
        <w:rPr>
          <w:rFonts w:ascii="Calibri" w:cs="Calibri" w:eastAsia="Calibri" w:hAnsi="Calibri"/>
          <w:color w:val="444444"/>
          <w:sz w:val="19"/>
          <w:szCs w:val="19"/>
        </w:rPr>
        <w:t xml:space="preserve">Designed and developed scalable backend microservices in Go (Gin/Gorm), handling periodic device data collection and behavioral simulation at scale.</w:t>
      </w:r>
    </w:p>
    <w:p>
      <w:pPr>
        <w:pStyle w:val="ListParagraph"/>
        <w:numPr>
          <w:ilvl w:val="0"/>
          <w:numId w:val="2"/>
        </w:numPr>
        <w:spacing w:before="30" w:after="30"/>
      </w:pPr>
      <w:r>
        <w:rPr>
          <w:rFonts w:ascii="Calibri" w:cs="Calibri" w:eastAsia="Calibri" w:hAnsi="Calibri"/>
          <w:color w:val="444444"/>
          <w:sz w:val="19"/>
          <w:szCs w:val="19"/>
        </w:rPr>
        <w:t xml:space="preserve">Managed a technical team end-to-end—decomposing product features into actionable tasks, ensuring high-quality on-time delivery.</w:t>
      </w:r>
    </w:p>
    <w:p>
      <w:pPr>
        <w:pStyle w:val="ListParagraph"/>
        <w:numPr>
          <w:ilvl w:val="0"/>
          <w:numId w:val="2"/>
        </w:numPr>
        <w:spacing w:before="30" w:after="30"/>
      </w:pPr>
      <w:r>
        <w:rPr>
          <w:rFonts w:ascii="Calibri" w:cs="Calibri" w:eastAsia="Calibri" w:hAnsi="Calibri"/>
          <w:color w:val="444444"/>
          <w:sz w:val="19"/>
          <w:szCs w:val="19"/>
        </w:rPr>
        <w:t xml:space="preserve">Delivered and maintained frontend micro-applications in React for seamless access control management experiences.</w:t>
      </w:r>
    </w:p>
    <w:p>
      <w:pPr>
        <w:spacing w:before="160" w:after="40"/>
      </w:pPr>
      <w:r>
        <w:rPr>
          <w:rFonts w:ascii="Calibri" w:cs="Calibri" w:eastAsia="Calibri" w:hAnsi="Calibri"/>
          <w:b/>
          <w:bCs/>
          <w:color w:val="1A1A2E"/>
          <w:sz w:val="20"/>
          <w:szCs w:val="20"/>
        </w:rPr>
        <w:t xml:space="preserve">Project #2: Provisioning &amp; IAM  |  Client: Cisco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Role</w:t>
            </w:r>
          </w:p>
        </w:tc>
        <w:tc>
          <w:tcPr>
            <w:tcW w:type="dxa" w:w="71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Sr Golang Engineer</w:t>
            </w:r>
          </w:p>
        </w:tc>
      </w:tr>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Duration</w:t>
            </w:r>
          </w:p>
        </w:tc>
        <w:tc>
          <w:tcPr>
            <w:tcW w:type="dxa" w:w="7160"/>
            <w:tcBorders>
              <w:top w:val="single" w:color="C0C8D0" w:sz="1"/>
              <w:left w:val="single" w:color="C0C8D0" w:sz="1"/>
              <w:bottom w:val="single" w:color="C0C8D0" w:sz="1"/>
              <w:right w:val="single" w:color="C0C8D0" w:sz="1"/>
            </w:tcBorders>
            <w:shd w:fill="F7F9FB"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Jan 2024 – May 2024</w:t>
            </w:r>
          </w:p>
        </w:tc>
      </w:tr>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Team Size</w:t>
            </w:r>
          </w:p>
        </w:tc>
        <w:tc>
          <w:tcPr>
            <w:tcW w:type="dxa" w:w="71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5</w:t>
            </w:r>
          </w:p>
        </w:tc>
      </w:tr>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Tech Stack</w:t>
            </w:r>
          </w:p>
        </w:tc>
        <w:tc>
          <w:tcPr>
            <w:tcW w:type="dxa" w:w="7160"/>
            <w:tcBorders>
              <w:top w:val="single" w:color="C0C8D0" w:sz="1"/>
              <w:left w:val="single" w:color="C0C8D0" w:sz="1"/>
              <w:bottom w:val="single" w:color="C0C8D0" w:sz="1"/>
              <w:right w:val="single" w:color="C0C8D0" w:sz="1"/>
            </w:tcBorders>
            <w:shd w:fill="F7F9FB"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Golang/Gin/Gorm, PostgreSQL, Kafka, Docker, Kubernetes, AWS, Memcache, React, GitOps, Okta, Terraform</w:t>
            </w:r>
          </w:p>
        </w:tc>
      </w:tr>
    </w:tbl>
    <w:p>
      <w:pPr>
        <w:spacing w:before="80" w:after="80"/>
      </w:pPr>
      <w:r>
        <w:rPr>
          <w:rFonts w:ascii="Calibri" w:cs="Calibri" w:eastAsia="Calibri" w:hAnsi="Calibri"/>
          <w:b/>
          <w:bCs/>
          <w:color w:val="1A1A2E"/>
          <w:sz w:val="19"/>
          <w:szCs w:val="19"/>
        </w:rPr>
        <w:t xml:space="preserve">Project Description: </w:t>
      </w:r>
      <w:r>
        <w:rPr>
          <w:rFonts w:ascii="Calibri" w:cs="Calibri" w:eastAsia="Calibri" w:hAnsi="Calibri"/>
          <w:color w:val="444444"/>
          <w:sz w:val="19"/>
          <w:szCs w:val="19"/>
        </w:rPr>
        <w:t xml:space="preserve">PIAM is a centralized platform for access and policy management within the Cisco security products ecosystem. It integrates Cisco Secure Access, AnyConnect, and XDR under a unified IAM management system to streamline access control and policy enforcement. The platform includes robust IAM solutions to manage user identities, roles, and permissions, along with provisioning services to automate deployment and configuration of security products for trial users and subscribers—enhancing onboarding, accelerating time-to-value, and optimizing resource utilization.</w:t>
      </w:r>
    </w:p>
    <w:p>
      <w:pPr>
        <w:spacing w:before="60" w:after="30"/>
      </w:pPr>
      <w:r>
        <w:rPr>
          <w:rFonts w:ascii="Calibri" w:cs="Calibri" w:eastAsia="Calibri" w:hAnsi="Calibri"/>
          <w:b/>
          <w:bCs/>
          <w:color w:val="1A1A2E"/>
          <w:sz w:val="19"/>
          <w:szCs w:val="19"/>
        </w:rPr>
        <w:t xml:space="preserve">Key Contributions:</w:t>
      </w:r>
    </w:p>
    <w:p>
      <w:pPr>
        <w:pStyle w:val="ListParagraph"/>
        <w:numPr>
          <w:ilvl w:val="0"/>
          <w:numId w:val="2"/>
        </w:numPr>
        <w:spacing w:before="30" w:after="30"/>
      </w:pPr>
      <w:r>
        <w:rPr>
          <w:rFonts w:ascii="Calibri" w:cs="Calibri" w:eastAsia="Calibri" w:hAnsi="Calibri"/>
          <w:color w:val="444444"/>
          <w:sz w:val="19"/>
          <w:szCs w:val="19"/>
        </w:rPr>
        <w:t xml:space="preserve">Spearheaded design and development of the centralized IAM and provisioning platform unifying multiple Cisco security products.</w:t>
      </w:r>
    </w:p>
    <w:p>
      <w:pPr>
        <w:pStyle w:val="ListParagraph"/>
        <w:numPr>
          <w:ilvl w:val="0"/>
          <w:numId w:val="2"/>
        </w:numPr>
        <w:spacing w:before="30" w:after="30"/>
      </w:pPr>
      <w:r>
        <w:rPr>
          <w:rFonts w:ascii="Calibri" w:cs="Calibri" w:eastAsia="Calibri" w:hAnsi="Calibri"/>
          <w:color w:val="444444"/>
          <w:sz w:val="19"/>
          <w:szCs w:val="19"/>
        </w:rPr>
        <w:t xml:space="preserve">Designed Kafka-based event-driven architecture to decouple microservices, enabling scalable and resilient inter-service communication.</w:t>
      </w:r>
    </w:p>
    <w:p>
      <w:pPr>
        <w:pStyle w:val="ListParagraph"/>
        <w:numPr>
          <w:ilvl w:val="0"/>
          <w:numId w:val="2"/>
        </w:numPr>
        <w:spacing w:before="30" w:after="30"/>
      </w:pPr>
      <w:r>
        <w:rPr>
          <w:rFonts w:ascii="Calibri" w:cs="Calibri" w:eastAsia="Calibri" w:hAnsi="Calibri"/>
          <w:color w:val="444444"/>
          <w:sz w:val="19"/>
          <w:szCs w:val="19"/>
        </w:rPr>
        <w:t xml:space="preserve">Automated provisioning workflows for trial users and subscribers, reducing onboarding time and accelerating time-to-value.</w:t>
      </w:r>
    </w:p>
    <w:p>
      <w:pPr>
        <w:pStyle w:val="ListParagraph"/>
        <w:numPr>
          <w:ilvl w:val="0"/>
          <w:numId w:val="2"/>
        </w:numPr>
        <w:spacing w:before="30" w:after="30"/>
      </w:pPr>
      <w:r>
        <w:rPr>
          <w:rFonts w:ascii="Calibri" w:cs="Calibri" w:eastAsia="Calibri" w:hAnsi="Calibri"/>
          <w:color w:val="444444"/>
          <w:sz w:val="19"/>
          <w:szCs w:val="19"/>
        </w:rPr>
        <w:t xml:space="preserve">Conducted code reviews, mentored junior developers, and drove measurable improvements in code quality and team velocity.</w:t>
      </w:r>
    </w:p>
    <w:p>
      <w:pPr>
        <w:pStyle w:val="ListParagraph"/>
        <w:numPr>
          <w:ilvl w:val="0"/>
          <w:numId w:val="2"/>
        </w:numPr>
        <w:spacing w:before="30" w:after="30"/>
      </w:pPr>
      <w:r>
        <w:rPr>
          <w:rFonts w:ascii="Calibri" w:cs="Calibri" w:eastAsia="Calibri" w:hAnsi="Calibri"/>
          <w:color w:val="444444"/>
          <w:sz w:val="19"/>
          <w:szCs w:val="19"/>
        </w:rPr>
        <w:t xml:space="preserve">Led efforts in analyzing and resolving production bugs, ensuring system stability and reliability.</w:t>
      </w:r>
    </w:p>
    <w:p>
      <w:pPr>
        <w:spacing w:before="160" w:after="40"/>
      </w:pPr>
      <w:r>
        <w:rPr>
          <w:rFonts w:ascii="Calibri" w:cs="Calibri" w:eastAsia="Calibri" w:hAnsi="Calibri"/>
          <w:b/>
          <w:bCs/>
          <w:color w:val="1A1A2E"/>
          <w:sz w:val="20"/>
          <w:szCs w:val="20"/>
        </w:rPr>
        <w:t xml:space="preserve">Project #3: Industrial DataOps Platform  |  Client: Rockwell Automation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Role</w:t>
            </w:r>
          </w:p>
        </w:tc>
        <w:tc>
          <w:tcPr>
            <w:tcW w:type="dxa" w:w="71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Technical Lead</w:t>
            </w:r>
          </w:p>
        </w:tc>
      </w:tr>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Duration</w:t>
            </w:r>
          </w:p>
        </w:tc>
        <w:tc>
          <w:tcPr>
            <w:tcW w:type="dxa" w:w="7160"/>
            <w:tcBorders>
              <w:top w:val="single" w:color="C0C8D0" w:sz="1"/>
              <w:left w:val="single" w:color="C0C8D0" w:sz="1"/>
              <w:bottom w:val="single" w:color="C0C8D0" w:sz="1"/>
              <w:right w:val="single" w:color="C0C8D0" w:sz="1"/>
            </w:tcBorders>
            <w:shd w:fill="F7F9FB"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Jan 2022 – Dec 2023</w:t>
            </w:r>
          </w:p>
        </w:tc>
      </w:tr>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Team Size</w:t>
            </w:r>
          </w:p>
        </w:tc>
        <w:tc>
          <w:tcPr>
            <w:tcW w:type="dxa" w:w="71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9</w:t>
            </w:r>
          </w:p>
        </w:tc>
      </w:tr>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Tech Stack</w:t>
            </w:r>
          </w:p>
        </w:tc>
        <w:tc>
          <w:tcPr>
            <w:tcW w:type="dxa" w:w="7160"/>
            <w:tcBorders>
              <w:top w:val="single" w:color="C0C8D0" w:sz="1"/>
              <w:left w:val="single" w:color="C0C8D0" w:sz="1"/>
              <w:bottom w:val="single" w:color="C0C8D0" w:sz="1"/>
              <w:right w:val="single" w:color="C0C8D0" w:sz="1"/>
            </w:tcBorders>
            <w:shd w:fill="F7F9FB"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Java/Quarkus/Vert.x, Golang/Gin/Gorm, CrateDB, Trino, Kafka, Kubernetes, Azure, Elasticsearch, Hazelcast, Helm, Argo, Istio, Redis, Terraform</w:t>
            </w:r>
          </w:p>
        </w:tc>
      </w:tr>
    </w:tbl>
    <w:p>
      <w:pPr>
        <w:spacing w:before="80" w:after="80"/>
      </w:pPr>
      <w:r>
        <w:rPr>
          <w:rFonts w:ascii="Calibri" w:cs="Calibri" w:eastAsia="Calibri" w:hAnsi="Calibri"/>
          <w:b/>
          <w:bCs/>
          <w:color w:val="1A1A2E"/>
          <w:sz w:val="19"/>
          <w:szCs w:val="19"/>
        </w:rPr>
        <w:t xml:space="preserve">Project Description: </w:t>
      </w:r>
      <w:r>
        <w:rPr>
          <w:rFonts w:ascii="Calibri" w:cs="Calibri" w:eastAsia="Calibri" w:hAnsi="Calibri"/>
          <w:color w:val="444444"/>
          <w:sz w:val="19"/>
          <w:szCs w:val="19"/>
        </w:rPr>
        <w:t xml:space="preserve">A SaaS DataOps platform designed to optimize manufacturing processes with advanced data modeling capabilities. The platform offers APIs and querying functionalities for time-series data analysis in a multi-tenant environment. Each environment operates with separated data concerns and a unique Identity Provider (IdP), ensuring secure and isolated access. The system empowers users to model and analyze time-series data efficiently, fostering a data-driven approach for enhanced productivity and decision-making in manufacturing facilities.</w:t>
      </w:r>
    </w:p>
    <w:p>
      <w:pPr>
        <w:spacing w:before="60" w:after="30"/>
      </w:pPr>
      <w:r>
        <w:rPr>
          <w:rFonts w:ascii="Calibri" w:cs="Calibri" w:eastAsia="Calibri" w:hAnsi="Calibri"/>
          <w:b/>
          <w:bCs/>
          <w:color w:val="1A1A2E"/>
          <w:sz w:val="19"/>
          <w:szCs w:val="19"/>
        </w:rPr>
        <w:t xml:space="preserve">Key Contributions:</w:t>
      </w:r>
    </w:p>
    <w:p>
      <w:pPr>
        <w:pStyle w:val="ListParagraph"/>
        <w:numPr>
          <w:ilvl w:val="0"/>
          <w:numId w:val="2"/>
        </w:numPr>
        <w:spacing w:before="30" w:after="30"/>
      </w:pPr>
      <w:r>
        <w:rPr>
          <w:rFonts w:ascii="Calibri" w:cs="Calibri" w:eastAsia="Calibri" w:hAnsi="Calibri"/>
          <w:color w:val="444444"/>
          <w:sz w:val="19"/>
          <w:szCs w:val="19"/>
        </w:rPr>
        <w:t xml:space="preserve">Led design and implementation of a multi-tenant SaaS DataOps platform optimizing manufacturing processes through time-series data modeling and analytics.</w:t>
      </w:r>
    </w:p>
    <w:p>
      <w:pPr>
        <w:pStyle w:val="ListParagraph"/>
        <w:numPr>
          <w:ilvl w:val="0"/>
          <w:numId w:val="2"/>
        </w:numPr>
        <w:spacing w:before="30" w:after="30"/>
      </w:pPr>
      <w:r>
        <w:rPr>
          <w:rFonts w:ascii="Calibri" w:cs="Calibri" w:eastAsia="Calibri" w:hAnsi="Calibri"/>
          <w:color w:val="444444"/>
          <w:sz w:val="19"/>
          <w:szCs w:val="19"/>
        </w:rPr>
        <w:t xml:space="preserve">Architected microservices in Java and Go with multi-tenant isolation, integrating Azure API and OpenID for secure per-environment IdP configurations.</w:t>
      </w:r>
    </w:p>
    <w:p>
      <w:pPr>
        <w:pStyle w:val="ListParagraph"/>
        <w:numPr>
          <w:ilvl w:val="0"/>
          <w:numId w:val="2"/>
        </w:numPr>
        <w:spacing w:before="30" w:after="30"/>
      </w:pPr>
      <w:r>
        <w:rPr>
          <w:rFonts w:ascii="Calibri" w:cs="Calibri" w:eastAsia="Calibri" w:hAnsi="Calibri"/>
          <w:color w:val="444444"/>
          <w:sz w:val="19"/>
          <w:szCs w:val="19"/>
        </w:rPr>
        <w:t xml:space="preserve">Built high-throughput data ingestion APIs in Go (Gin) processing real-time IoT telemetry via Kafka and Azure IoT Hub with minimal latency.</w:t>
      </w:r>
    </w:p>
    <w:p>
      <w:pPr>
        <w:pStyle w:val="ListParagraph"/>
        <w:numPr>
          <w:ilvl w:val="0"/>
          <w:numId w:val="2"/>
        </w:numPr>
        <w:spacing w:before="30" w:after="30"/>
      </w:pPr>
      <w:r>
        <w:rPr>
          <w:rFonts w:ascii="Calibri" w:cs="Calibri" w:eastAsia="Calibri" w:hAnsi="Calibri"/>
          <w:color w:val="444444"/>
          <w:sz w:val="19"/>
          <w:szCs w:val="19"/>
        </w:rPr>
        <w:t xml:space="preserve">Orchestrated platform deployments using Kubernetes, Helm, and Argo CD, ensuring seamless scalability and zero-downtime releases.</w:t>
      </w:r>
    </w:p>
    <w:p>
      <w:pPr>
        <w:pStyle w:val="ListParagraph"/>
        <w:numPr>
          <w:ilvl w:val="0"/>
          <w:numId w:val="2"/>
        </w:numPr>
        <w:spacing w:before="30" w:after="30"/>
      </w:pPr>
      <w:r>
        <w:rPr>
          <w:rFonts w:ascii="Calibri" w:cs="Calibri" w:eastAsia="Calibri" w:hAnsi="Calibri"/>
          <w:color w:val="444444"/>
          <w:sz w:val="19"/>
          <w:szCs w:val="19"/>
        </w:rPr>
        <w:t xml:space="preserve">Integrated CrateDB and Trino for distributed time-series querying, enabling data-driven decision-making across manufacturing facilities.</w:t>
      </w:r>
    </w:p>
    <w:p>
      <w:pPr>
        <w:pStyle w:val="ListParagraph"/>
        <w:numPr>
          <w:ilvl w:val="0"/>
          <w:numId w:val="2"/>
        </w:numPr>
        <w:spacing w:before="30" w:after="30"/>
      </w:pPr>
      <w:r>
        <w:rPr>
          <w:rFonts w:ascii="Calibri" w:cs="Calibri" w:eastAsia="Calibri" w:hAnsi="Calibri"/>
          <w:color w:val="444444"/>
          <w:sz w:val="19"/>
          <w:szCs w:val="19"/>
        </w:rPr>
        <w:t xml:space="preserve">Collaborated with cross-functional teams on Hazelcast Cache integration for optimized data retrieval and caching strategies.</w:t>
      </w:r>
    </w:p>
    <w:p>
      <w:pPr>
        <w:spacing w:before="2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600"/>
        <w:gridCol w:w="2760"/>
      </w:tblGrid>
      <w:tr>
        <w:tc>
          <w:tcPr>
            <w:tcW w:type="dxa" w:w="6600"/>
            <w:tcBorders>
              <w:top w:val="none" w:color="FFFFFF" w:sz="0"/>
              <w:left w:val="none" w:color="FFFFFF" w:sz="0"/>
              <w:bottom w:val="none" w:color="FFFFFF" w:sz="0"/>
              <w:right w:val="none" w:color="FFFFFF" w:sz="0"/>
            </w:tcBorders>
            <w:shd w:fill="0F4C81" w:val="clear"/>
            <w:tcMar>
              <w:top w:type="dxa" w:w="80"/>
              <w:left w:type="dxa" w:w="140"/>
              <w:bottom w:type="dxa" w:w="80"/>
              <w:right w:type="dxa" w:w="100"/>
            </w:tcMar>
            <w:vAlign w:val="center"/>
          </w:tcPr>
          <w:p>
            <w:pPr>
              <w:spacing w:before="0" w:after="0"/>
            </w:pPr>
            <w:r>
              <w:rPr>
                <w:rFonts w:ascii="Calibri" w:cs="Calibri" w:eastAsia="Calibri" w:hAnsi="Calibri"/>
                <w:b/>
                <w:bCs/>
                <w:color w:val="FFFFFF"/>
                <w:sz w:val="22"/>
                <w:szCs w:val="22"/>
              </w:rPr>
              <w:t xml:space="preserve">Optum Global Solutions (UHG)</w:t>
            </w:r>
            <w:r>
              <w:rPr>
                <w:rFonts w:ascii="Calibri" w:cs="Calibri" w:eastAsia="Calibri" w:hAnsi="Calibri"/>
                <w:color w:val="B8D4E8"/>
                <w:sz w:val="18"/>
                <w:szCs w:val="18"/>
              </w:rPr>
              <w:t xml:space="preserve">  —  Gurgaon</w:t>
            </w:r>
          </w:p>
        </w:tc>
        <w:tc>
          <w:tcPr>
            <w:tcW w:type="dxa" w:w="2760"/>
            <w:tcBorders>
              <w:top w:val="none" w:color="FFFFFF" w:sz="0"/>
              <w:left w:val="none" w:color="FFFFFF" w:sz="0"/>
              <w:bottom w:val="none" w:color="FFFFFF" w:sz="0"/>
              <w:right w:val="none" w:color="FFFFFF" w:sz="0"/>
            </w:tcBorders>
            <w:shd w:fill="0F4C81" w:val="clear"/>
            <w:tcMar>
              <w:top w:type="dxa" w:w="80"/>
              <w:left w:type="dxa" w:w="100"/>
              <w:bottom w:type="dxa" w:w="80"/>
              <w:right w:type="dxa" w:w="140"/>
            </w:tcMar>
            <w:vAlign w:val="center"/>
          </w:tcPr>
          <w:p>
            <w:pPr>
              <w:spacing w:before="0" w:after="0"/>
              <w:jc w:val="right"/>
            </w:pPr>
            <w:r>
              <w:rPr>
                <w:rFonts w:ascii="Calibri" w:cs="Calibri" w:eastAsia="Calibri" w:hAnsi="Calibri"/>
                <w:b/>
                <w:bCs/>
                <w:color w:val="FFFFFF"/>
                <w:sz w:val="18"/>
                <w:szCs w:val="18"/>
              </w:rPr>
              <w:t xml:space="preserve">Jan 2020 – Jan 2022</w:t>
            </w:r>
          </w:p>
        </w:tc>
      </w:tr>
    </w:tbl>
    <w:p>
      <w:pPr>
        <w:spacing w:before="100" w:after="40"/>
      </w:pPr>
      <w:r>
        <w:rPr>
          <w:rFonts w:ascii="Calibri" w:cs="Calibri" w:eastAsia="Calibri" w:hAnsi="Calibri"/>
          <w:b/>
          <w:bCs/>
          <w:color w:val="1A1A2E"/>
          <w:sz w:val="20"/>
          <w:szCs w:val="20"/>
        </w:rPr>
        <w:t xml:space="preserve">Project: Tech Innovators – Architectural Design Team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Role</w:t>
            </w:r>
          </w:p>
        </w:tc>
        <w:tc>
          <w:tcPr>
            <w:tcW w:type="dxa" w:w="71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Jr Architect / Individual Contributor</w:t>
            </w:r>
          </w:p>
        </w:tc>
      </w:tr>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Team Size</w:t>
            </w:r>
          </w:p>
        </w:tc>
        <w:tc>
          <w:tcPr>
            <w:tcW w:type="dxa" w:w="7160"/>
            <w:tcBorders>
              <w:top w:val="single" w:color="C0C8D0" w:sz="1"/>
              <w:left w:val="single" w:color="C0C8D0" w:sz="1"/>
              <w:bottom w:val="single" w:color="C0C8D0" w:sz="1"/>
              <w:right w:val="single" w:color="C0C8D0" w:sz="1"/>
            </w:tcBorders>
            <w:shd w:fill="F7F9FB"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8</w:t>
            </w:r>
          </w:p>
        </w:tc>
      </w:tr>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Tech Stack</w:t>
            </w:r>
          </w:p>
        </w:tc>
        <w:tc>
          <w:tcPr>
            <w:tcW w:type="dxa" w:w="71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Java/Spring Boot/Hibernate, Golang/Gorm/Gin, Docker, Kafka, Debezium CDC, Azure (App Services, AKS, Cosmos DB, AD), Helm, Istio, Auth0, Keycloak, Redis, Elasticsearch, Terraform</w:t>
            </w:r>
          </w:p>
        </w:tc>
      </w:tr>
    </w:tbl>
    <w:p>
      <w:pPr>
        <w:spacing w:before="80" w:after="80"/>
      </w:pPr>
      <w:r>
        <w:rPr>
          <w:rFonts w:ascii="Calibri" w:cs="Calibri" w:eastAsia="Calibri" w:hAnsi="Calibri"/>
          <w:b/>
          <w:bCs/>
          <w:color w:val="1A1A2E"/>
          <w:sz w:val="19"/>
          <w:szCs w:val="19"/>
        </w:rPr>
        <w:t xml:space="preserve">Project Description: </w:t>
      </w:r>
      <w:r>
        <w:rPr>
          <w:rFonts w:ascii="Calibri" w:cs="Calibri" w:eastAsia="Calibri" w:hAnsi="Calibri"/>
          <w:color w:val="444444"/>
          <w:sz w:val="19"/>
          <w:szCs w:val="19"/>
        </w:rPr>
        <w:t xml:space="preserve">Part of the core Architectural Design Team (Tech Innovators) responsible for developing PoCs to transition legacy applications to modern tech stacks across UI, middleware, backend, containerization, deployments, and cloud. The team managed and improved the streaming platform, helped applications implement event-driven architectures, and implemented security controls across application, container, and cloud layers.</w:t>
      </w:r>
    </w:p>
    <w:p>
      <w:pPr>
        <w:spacing w:before="60" w:after="30"/>
      </w:pPr>
      <w:r>
        <w:rPr>
          <w:rFonts w:ascii="Calibri" w:cs="Calibri" w:eastAsia="Calibri" w:hAnsi="Calibri"/>
          <w:b/>
          <w:bCs/>
          <w:color w:val="1A1A2E"/>
          <w:sz w:val="19"/>
          <w:szCs w:val="19"/>
        </w:rPr>
        <w:t xml:space="preserve">Key Contributions:</w:t>
      </w:r>
    </w:p>
    <w:p>
      <w:pPr>
        <w:pStyle w:val="ListParagraph"/>
        <w:numPr>
          <w:ilvl w:val="0"/>
          <w:numId w:val="2"/>
        </w:numPr>
        <w:spacing w:before="30" w:after="30"/>
      </w:pPr>
      <w:r>
        <w:rPr>
          <w:rFonts w:ascii="Calibri" w:cs="Calibri" w:eastAsia="Calibri" w:hAnsi="Calibri"/>
          <w:color w:val="444444"/>
          <w:sz w:val="19"/>
          <w:szCs w:val="19"/>
        </w:rPr>
        <w:t xml:space="preserve">Developed PoCs to modernize legacy applications, defining migration paths across UI, middleware, backend, containerization, and cloud infrastructure.</w:t>
      </w:r>
    </w:p>
    <w:p>
      <w:pPr>
        <w:pStyle w:val="ListParagraph"/>
        <w:numPr>
          <w:ilvl w:val="0"/>
          <w:numId w:val="2"/>
        </w:numPr>
        <w:spacing w:before="30" w:after="30"/>
      </w:pPr>
      <w:r>
        <w:rPr>
          <w:rFonts w:ascii="Calibri" w:cs="Calibri" w:eastAsia="Calibri" w:hAnsi="Calibri"/>
          <w:color w:val="444444"/>
          <w:sz w:val="19"/>
          <w:szCs w:val="19"/>
        </w:rPr>
        <w:t xml:space="preserve">Managed and improved the streaming platform, enabling event-driven architecture adoption across multiple application teams.</w:t>
      </w:r>
    </w:p>
    <w:p>
      <w:pPr>
        <w:pStyle w:val="ListParagraph"/>
        <w:numPr>
          <w:ilvl w:val="0"/>
          <w:numId w:val="2"/>
        </w:numPr>
        <w:spacing w:before="30" w:after="30"/>
      </w:pPr>
      <w:r>
        <w:rPr>
          <w:rFonts w:ascii="Calibri" w:cs="Calibri" w:eastAsia="Calibri" w:hAnsi="Calibri"/>
          <w:color w:val="444444"/>
          <w:sz w:val="19"/>
          <w:szCs w:val="19"/>
        </w:rPr>
        <w:t xml:space="preserve">Designed Azure Cosmos DB (NoSQL) solutions for high-availability distributed data, and implemented Kafka + Debezium CDC for real-time change data capture.</w:t>
      </w:r>
    </w:p>
    <w:p>
      <w:pPr>
        <w:pStyle w:val="ListParagraph"/>
        <w:numPr>
          <w:ilvl w:val="0"/>
          <w:numId w:val="2"/>
        </w:numPr>
        <w:spacing w:before="30" w:after="30"/>
      </w:pPr>
      <w:r>
        <w:rPr>
          <w:rFonts w:ascii="Calibri" w:cs="Calibri" w:eastAsia="Calibri" w:hAnsi="Calibri"/>
          <w:color w:val="444444"/>
          <w:sz w:val="19"/>
          <w:szCs w:val="19"/>
        </w:rPr>
        <w:t xml:space="preserve">Deployed applications on Azure AKS with GitOps-based CI/CD pipelines, integrating Azure AD for enterprise-grade authentication.</w:t>
      </w:r>
    </w:p>
    <w:p>
      <w:pPr>
        <w:pStyle w:val="ListParagraph"/>
        <w:numPr>
          <w:ilvl w:val="0"/>
          <w:numId w:val="2"/>
        </w:numPr>
        <w:spacing w:before="30" w:after="30"/>
      </w:pPr>
      <w:r>
        <w:rPr>
          <w:rFonts w:ascii="Calibri" w:cs="Calibri" w:eastAsia="Calibri" w:hAnsi="Calibri"/>
          <w:color w:val="444444"/>
          <w:sz w:val="19"/>
          <w:szCs w:val="19"/>
        </w:rPr>
        <w:t xml:space="preserve">Implemented security controls across application, container, and cloud layers, ensuring compliance with enterprise security standards.</w:t>
      </w:r>
    </w:p>
    <w:p>
      <w:pPr>
        <w:spacing w:before="2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600"/>
        <w:gridCol w:w="2760"/>
      </w:tblGrid>
      <w:tr>
        <w:tc>
          <w:tcPr>
            <w:tcW w:type="dxa" w:w="6600"/>
            <w:tcBorders>
              <w:top w:val="none" w:color="FFFFFF" w:sz="0"/>
              <w:left w:val="none" w:color="FFFFFF" w:sz="0"/>
              <w:bottom w:val="none" w:color="FFFFFF" w:sz="0"/>
              <w:right w:val="none" w:color="FFFFFF" w:sz="0"/>
            </w:tcBorders>
            <w:shd w:fill="0F4C81" w:val="clear"/>
            <w:tcMar>
              <w:top w:type="dxa" w:w="80"/>
              <w:left w:type="dxa" w:w="140"/>
              <w:bottom w:type="dxa" w:w="80"/>
              <w:right w:type="dxa" w:w="100"/>
            </w:tcMar>
            <w:vAlign w:val="center"/>
          </w:tcPr>
          <w:p>
            <w:pPr>
              <w:spacing w:before="0" w:after="0"/>
            </w:pPr>
            <w:r>
              <w:rPr>
                <w:rFonts w:ascii="Calibri" w:cs="Calibri" w:eastAsia="Calibri" w:hAnsi="Calibri"/>
                <w:b/>
                <w:bCs/>
                <w:color w:val="FFFFFF"/>
                <w:sz w:val="22"/>
                <w:szCs w:val="22"/>
              </w:rPr>
              <w:t xml:space="preserve">Verizon</w:t>
            </w:r>
            <w:r>
              <w:rPr>
                <w:rFonts w:ascii="Calibri" w:cs="Calibri" w:eastAsia="Calibri" w:hAnsi="Calibri"/>
                <w:color w:val="B8D4E8"/>
                <w:sz w:val="18"/>
                <w:szCs w:val="18"/>
              </w:rPr>
              <w:t xml:space="preserve">  —  Chennai</w:t>
            </w:r>
          </w:p>
        </w:tc>
        <w:tc>
          <w:tcPr>
            <w:tcW w:type="dxa" w:w="2760"/>
            <w:tcBorders>
              <w:top w:val="none" w:color="FFFFFF" w:sz="0"/>
              <w:left w:val="none" w:color="FFFFFF" w:sz="0"/>
              <w:bottom w:val="none" w:color="FFFFFF" w:sz="0"/>
              <w:right w:val="none" w:color="FFFFFF" w:sz="0"/>
            </w:tcBorders>
            <w:shd w:fill="0F4C81" w:val="clear"/>
            <w:tcMar>
              <w:top w:type="dxa" w:w="80"/>
              <w:left w:type="dxa" w:w="100"/>
              <w:bottom w:type="dxa" w:w="80"/>
              <w:right w:type="dxa" w:w="140"/>
            </w:tcMar>
            <w:vAlign w:val="center"/>
          </w:tcPr>
          <w:p>
            <w:pPr>
              <w:spacing w:before="0" w:after="0"/>
              <w:jc w:val="right"/>
            </w:pPr>
            <w:r>
              <w:rPr>
                <w:rFonts w:ascii="Calibri" w:cs="Calibri" w:eastAsia="Calibri" w:hAnsi="Calibri"/>
                <w:b/>
                <w:bCs/>
                <w:color w:val="FFFFFF"/>
                <w:sz w:val="18"/>
                <w:szCs w:val="18"/>
              </w:rPr>
              <w:t xml:space="preserve">Jul 2018 – Jan 2020</w:t>
            </w:r>
          </w:p>
        </w:tc>
      </w:tr>
    </w:tbl>
    <w:p>
      <w:pPr>
        <w:spacing w:before="100" w:after="40"/>
      </w:pPr>
      <w:r>
        <w:rPr>
          <w:rFonts w:ascii="Calibri" w:cs="Calibri" w:eastAsia="Calibri" w:hAnsi="Calibri"/>
          <w:b/>
          <w:bCs/>
          <w:color w:val="1A1A2E"/>
          <w:sz w:val="20"/>
          <w:szCs w:val="20"/>
        </w:rPr>
        <w:t xml:space="preserve">Project #1: Log Analytics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Role</w:t>
            </w:r>
          </w:p>
        </w:tc>
        <w:tc>
          <w:tcPr>
            <w:tcW w:type="dxa" w:w="71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Sr Security Engineer / Individual Contributor</w:t>
            </w:r>
          </w:p>
        </w:tc>
      </w:tr>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Team Size</w:t>
            </w:r>
          </w:p>
        </w:tc>
        <w:tc>
          <w:tcPr>
            <w:tcW w:type="dxa" w:w="7160"/>
            <w:tcBorders>
              <w:top w:val="single" w:color="C0C8D0" w:sz="1"/>
              <w:left w:val="single" w:color="C0C8D0" w:sz="1"/>
              <w:bottom w:val="single" w:color="C0C8D0" w:sz="1"/>
              <w:right w:val="single" w:color="C0C8D0" w:sz="1"/>
            </w:tcBorders>
            <w:shd w:fill="F7F9FB"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10</w:t>
            </w:r>
          </w:p>
        </w:tc>
      </w:tr>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Tech Stack</w:t>
            </w:r>
          </w:p>
        </w:tc>
        <w:tc>
          <w:tcPr>
            <w:tcW w:type="dxa" w:w="71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Java, Spark/SparkML, Kafka, Splunk, Docker, Kubernetes, Azure, AWS, Hadoop, SIEM, Elasticsearch</w:t>
            </w:r>
          </w:p>
        </w:tc>
      </w:tr>
    </w:tbl>
    <w:p>
      <w:pPr>
        <w:spacing w:before="80" w:after="80"/>
      </w:pPr>
      <w:r>
        <w:rPr>
          <w:rFonts w:ascii="Calibri" w:cs="Calibri" w:eastAsia="Calibri" w:hAnsi="Calibri"/>
          <w:b/>
          <w:bCs/>
          <w:color w:val="1A1A2E"/>
          <w:sz w:val="19"/>
          <w:szCs w:val="19"/>
        </w:rPr>
        <w:t xml:space="preserve">Project Description: </w:t>
      </w:r>
      <w:r>
        <w:rPr>
          <w:rFonts w:ascii="Calibri" w:cs="Calibri" w:eastAsia="Calibri" w:hAnsi="Calibri"/>
          <w:color w:val="444444"/>
          <w:sz w:val="19"/>
          <w:szCs w:val="19"/>
        </w:rPr>
        <w:t xml:space="preserve">Integration of application logs to a centralized Log Analysis platform. Streaming of application logs for fraud analytics using Spark engine with SparkML libraries.</w:t>
      </w:r>
    </w:p>
    <w:p>
      <w:pPr>
        <w:spacing w:before="60" w:after="30"/>
      </w:pPr>
      <w:r>
        <w:rPr>
          <w:rFonts w:ascii="Calibri" w:cs="Calibri" w:eastAsia="Calibri" w:hAnsi="Calibri"/>
          <w:b/>
          <w:bCs/>
          <w:color w:val="1A1A2E"/>
          <w:sz w:val="19"/>
          <w:szCs w:val="19"/>
        </w:rPr>
        <w:t xml:space="preserve">Key Contributions:</w:t>
      </w:r>
    </w:p>
    <w:p>
      <w:pPr>
        <w:pStyle w:val="ListParagraph"/>
        <w:numPr>
          <w:ilvl w:val="0"/>
          <w:numId w:val="2"/>
        </w:numPr>
        <w:spacing w:before="30" w:after="30"/>
      </w:pPr>
      <w:r>
        <w:rPr>
          <w:rFonts w:ascii="Calibri" w:cs="Calibri" w:eastAsia="Calibri" w:hAnsi="Calibri"/>
          <w:color w:val="444444"/>
          <w:sz w:val="19"/>
          <w:szCs w:val="19"/>
        </w:rPr>
        <w:t xml:space="preserve">Integrated application logs into a centralized Log Analysis platform using Splunk, enhancing monitoring and incident response capabilities.</w:t>
      </w:r>
    </w:p>
    <w:p>
      <w:pPr>
        <w:pStyle w:val="ListParagraph"/>
        <w:numPr>
          <w:ilvl w:val="0"/>
          <w:numId w:val="2"/>
        </w:numPr>
        <w:spacing w:before="30" w:after="30"/>
      </w:pPr>
      <w:r>
        <w:rPr>
          <w:rFonts w:ascii="Calibri" w:cs="Calibri" w:eastAsia="Calibri" w:hAnsi="Calibri"/>
          <w:color w:val="444444"/>
          <w:sz w:val="19"/>
          <w:szCs w:val="19"/>
        </w:rPr>
        <w:t xml:space="preserve">Developed real-time log streaming solutions using Kafka with Kerberos authentication, and utilized Spark/SparkML for fraud analytics.</w:t>
      </w:r>
    </w:p>
    <w:p>
      <w:pPr>
        <w:pStyle w:val="ListParagraph"/>
        <w:numPr>
          <w:ilvl w:val="0"/>
          <w:numId w:val="2"/>
        </w:numPr>
        <w:spacing w:before="30" w:after="30"/>
      </w:pPr>
      <w:r>
        <w:rPr>
          <w:rFonts w:ascii="Calibri" w:cs="Calibri" w:eastAsia="Calibri" w:hAnsi="Calibri"/>
          <w:color w:val="444444"/>
          <w:sz w:val="19"/>
          <w:szCs w:val="19"/>
        </w:rPr>
        <w:t xml:space="preserve">Deployed and orchestrated microservices on Kubernetes, maintaining high availability and scalability of the platform.</w:t>
      </w:r>
    </w:p>
    <w:p>
      <w:pPr>
        <w:spacing w:before="160" w:after="40"/>
      </w:pPr>
      <w:r>
        <w:rPr>
          <w:rFonts w:ascii="Calibri" w:cs="Calibri" w:eastAsia="Calibri" w:hAnsi="Calibri"/>
          <w:b/>
          <w:bCs/>
          <w:color w:val="1A1A2E"/>
          <w:sz w:val="20"/>
          <w:szCs w:val="20"/>
        </w:rPr>
        <w:t xml:space="preserve">Project #2: Developer Dashboard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Role</w:t>
            </w:r>
          </w:p>
        </w:tc>
        <w:tc>
          <w:tcPr>
            <w:tcW w:type="dxa" w:w="71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Sr Security Engineer / Individual Contributor</w:t>
            </w:r>
          </w:p>
        </w:tc>
      </w:tr>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Team Size</w:t>
            </w:r>
          </w:p>
        </w:tc>
        <w:tc>
          <w:tcPr>
            <w:tcW w:type="dxa" w:w="7160"/>
            <w:tcBorders>
              <w:top w:val="single" w:color="C0C8D0" w:sz="1"/>
              <w:left w:val="single" w:color="C0C8D0" w:sz="1"/>
              <w:bottom w:val="single" w:color="C0C8D0" w:sz="1"/>
              <w:right w:val="single" w:color="C0C8D0" w:sz="1"/>
            </w:tcBorders>
            <w:shd w:fill="F7F9FB"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10</w:t>
            </w:r>
          </w:p>
        </w:tc>
      </w:tr>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Tech Stack</w:t>
            </w:r>
          </w:p>
        </w:tc>
        <w:tc>
          <w:tcPr>
            <w:tcW w:type="dxa" w:w="71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Java, Spring Boot, React, Docker, Kubernetes, JanusGraph DB, Cassandra, AWS, SIEM</w:t>
            </w:r>
          </w:p>
        </w:tc>
      </w:tr>
    </w:tbl>
    <w:p>
      <w:pPr>
        <w:spacing w:before="80" w:after="80"/>
      </w:pPr>
      <w:r>
        <w:rPr>
          <w:rFonts w:ascii="Calibri" w:cs="Calibri" w:eastAsia="Calibri" w:hAnsi="Calibri"/>
          <w:b/>
          <w:bCs/>
          <w:color w:val="1A1A2E"/>
          <w:sz w:val="19"/>
          <w:szCs w:val="19"/>
        </w:rPr>
        <w:t xml:space="preserve">Project Description: </w:t>
      </w:r>
      <w:r>
        <w:rPr>
          <w:rFonts w:ascii="Calibri" w:cs="Calibri" w:eastAsia="Calibri" w:hAnsi="Calibri"/>
          <w:color w:val="444444"/>
          <w:sz w:val="19"/>
          <w:szCs w:val="19"/>
        </w:rPr>
        <w:t xml:space="preserve">Development and maintenance of a dashboard where all Verizon app developers can scan their code for vulnerabilities and fix issues. The dashboard provides visibility up to director level for identifying and tracking security issues.</w:t>
      </w:r>
    </w:p>
    <w:p>
      <w:pPr>
        <w:spacing w:before="60" w:after="30"/>
      </w:pPr>
      <w:r>
        <w:rPr>
          <w:rFonts w:ascii="Calibri" w:cs="Calibri" w:eastAsia="Calibri" w:hAnsi="Calibri"/>
          <w:b/>
          <w:bCs/>
          <w:color w:val="1A1A2E"/>
          <w:sz w:val="19"/>
          <w:szCs w:val="19"/>
        </w:rPr>
        <w:t xml:space="preserve">Key Contributions:</w:t>
      </w:r>
    </w:p>
    <w:p>
      <w:pPr>
        <w:pStyle w:val="ListParagraph"/>
        <w:numPr>
          <w:ilvl w:val="0"/>
          <w:numId w:val="2"/>
        </w:numPr>
        <w:spacing w:before="30" w:after="30"/>
      </w:pPr>
      <w:r>
        <w:rPr>
          <w:rFonts w:ascii="Calibri" w:cs="Calibri" w:eastAsia="Calibri" w:hAnsi="Calibri"/>
          <w:color w:val="444444"/>
          <w:sz w:val="19"/>
          <w:szCs w:val="19"/>
        </w:rPr>
        <w:t xml:space="preserve">Led development of the Developer Security Dashboard enabling code vulnerability scanning with director-level visibility for issue tracking.</w:t>
      </w:r>
    </w:p>
    <w:p>
      <w:pPr>
        <w:pStyle w:val="ListParagraph"/>
        <w:numPr>
          <w:ilvl w:val="0"/>
          <w:numId w:val="2"/>
        </w:numPr>
        <w:spacing w:before="30" w:after="30"/>
      </w:pPr>
      <w:r>
        <w:rPr>
          <w:rFonts w:ascii="Calibri" w:cs="Calibri" w:eastAsia="Calibri" w:hAnsi="Calibri"/>
          <w:color w:val="444444"/>
          <w:sz w:val="19"/>
          <w:szCs w:val="19"/>
        </w:rPr>
        <w:t xml:space="preserve">Designed graph-based data storage with JanusGraph and Cassandra for efficient data retrieval and management.</w:t>
      </w:r>
    </w:p>
    <w:p>
      <w:pPr>
        <w:pStyle w:val="ListParagraph"/>
        <w:numPr>
          <w:ilvl w:val="0"/>
          <w:numId w:val="2"/>
        </w:numPr>
        <w:spacing w:before="30" w:after="30"/>
      </w:pPr>
      <w:r>
        <w:rPr>
          <w:rFonts w:ascii="Calibri" w:cs="Calibri" w:eastAsia="Calibri" w:hAnsi="Calibri"/>
          <w:color w:val="444444"/>
          <w:sz w:val="19"/>
          <w:szCs w:val="19"/>
        </w:rPr>
        <w:t xml:space="preserve">Integrated AWS, Okta, and Keycloak for OAuth2 authentication, ensuring secure and seamless platform access.</w:t>
      </w:r>
    </w:p>
    <w:p>
      <w:pPr>
        <w:spacing w:before="2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600"/>
        <w:gridCol w:w="2760"/>
      </w:tblGrid>
      <w:tr>
        <w:tc>
          <w:tcPr>
            <w:tcW w:type="dxa" w:w="6600"/>
            <w:tcBorders>
              <w:top w:val="none" w:color="FFFFFF" w:sz="0"/>
              <w:left w:val="none" w:color="FFFFFF" w:sz="0"/>
              <w:bottom w:val="none" w:color="FFFFFF" w:sz="0"/>
              <w:right w:val="none" w:color="FFFFFF" w:sz="0"/>
            </w:tcBorders>
            <w:shd w:fill="0F4C81" w:val="clear"/>
            <w:tcMar>
              <w:top w:type="dxa" w:w="80"/>
              <w:left w:type="dxa" w:w="140"/>
              <w:bottom w:type="dxa" w:w="80"/>
              <w:right w:type="dxa" w:w="100"/>
            </w:tcMar>
            <w:vAlign w:val="center"/>
          </w:tcPr>
          <w:p>
            <w:pPr>
              <w:spacing w:before="0" w:after="0"/>
            </w:pPr>
            <w:r>
              <w:rPr>
                <w:rFonts w:ascii="Calibri" w:cs="Calibri" w:eastAsia="Calibri" w:hAnsi="Calibri"/>
                <w:b/>
                <w:bCs/>
                <w:color w:val="FFFFFF"/>
                <w:sz w:val="22"/>
                <w:szCs w:val="22"/>
              </w:rPr>
              <w:t xml:space="preserve">Alight Solutions</w:t>
            </w:r>
            <w:r>
              <w:rPr>
                <w:rFonts w:ascii="Calibri" w:cs="Calibri" w:eastAsia="Calibri" w:hAnsi="Calibri"/>
                <w:color w:val="B8D4E8"/>
                <w:sz w:val="18"/>
                <w:szCs w:val="18"/>
              </w:rPr>
              <w:t xml:space="preserve">  —  Chennai</w:t>
            </w:r>
          </w:p>
        </w:tc>
        <w:tc>
          <w:tcPr>
            <w:tcW w:type="dxa" w:w="2760"/>
            <w:tcBorders>
              <w:top w:val="none" w:color="FFFFFF" w:sz="0"/>
              <w:left w:val="none" w:color="FFFFFF" w:sz="0"/>
              <w:bottom w:val="none" w:color="FFFFFF" w:sz="0"/>
              <w:right w:val="none" w:color="FFFFFF" w:sz="0"/>
            </w:tcBorders>
            <w:shd w:fill="0F4C81" w:val="clear"/>
            <w:tcMar>
              <w:top w:type="dxa" w:w="80"/>
              <w:left w:type="dxa" w:w="100"/>
              <w:bottom w:type="dxa" w:w="80"/>
              <w:right w:type="dxa" w:w="140"/>
            </w:tcMar>
            <w:vAlign w:val="center"/>
          </w:tcPr>
          <w:p>
            <w:pPr>
              <w:spacing w:before="0" w:after="0"/>
              <w:jc w:val="right"/>
            </w:pPr>
            <w:r>
              <w:rPr>
                <w:rFonts w:ascii="Calibri" w:cs="Calibri" w:eastAsia="Calibri" w:hAnsi="Calibri"/>
                <w:b/>
                <w:bCs/>
                <w:color w:val="FFFFFF"/>
                <w:sz w:val="18"/>
                <w:szCs w:val="18"/>
              </w:rPr>
              <w:t xml:space="preserve">Oct 2016 – Jul 2018</w:t>
            </w:r>
          </w:p>
        </w:tc>
      </w:tr>
    </w:tbl>
    <w:p>
      <w:pPr>
        <w:spacing w:before="100" w:after="40"/>
      </w:pPr>
      <w:r>
        <w:rPr>
          <w:rFonts w:ascii="Calibri" w:cs="Calibri" w:eastAsia="Calibri" w:hAnsi="Calibri"/>
          <w:b/>
          <w:bCs/>
          <w:color w:val="1A1A2E"/>
          <w:sz w:val="20"/>
          <w:szCs w:val="20"/>
        </w:rPr>
        <w:t xml:space="preserve">Project: UPoint Portal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Role</w:t>
            </w:r>
          </w:p>
        </w:tc>
        <w:tc>
          <w:tcPr>
            <w:tcW w:type="dxa" w:w="71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Fullstack Engineer</w:t>
            </w:r>
          </w:p>
        </w:tc>
      </w:tr>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Team Size</w:t>
            </w:r>
          </w:p>
        </w:tc>
        <w:tc>
          <w:tcPr>
            <w:tcW w:type="dxa" w:w="7160"/>
            <w:tcBorders>
              <w:top w:val="single" w:color="C0C8D0" w:sz="1"/>
              <w:left w:val="single" w:color="C0C8D0" w:sz="1"/>
              <w:bottom w:val="single" w:color="C0C8D0" w:sz="1"/>
              <w:right w:val="single" w:color="C0C8D0" w:sz="1"/>
            </w:tcBorders>
            <w:shd w:fill="F7F9FB"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12</w:t>
            </w:r>
          </w:p>
        </w:tc>
      </w:tr>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Tech Stack</w:t>
            </w:r>
          </w:p>
        </w:tc>
        <w:tc>
          <w:tcPr>
            <w:tcW w:type="dxa" w:w="71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Java, Spring Boot, Angular, Liferay, Docker, Kubernetes, Oracle DB, Hibernate, Memcache</w:t>
            </w:r>
          </w:p>
        </w:tc>
      </w:tr>
    </w:tbl>
    <w:p>
      <w:pPr>
        <w:spacing w:before="80" w:after="80"/>
      </w:pPr>
      <w:r>
        <w:rPr>
          <w:rFonts w:ascii="Calibri" w:cs="Calibri" w:eastAsia="Calibri" w:hAnsi="Calibri"/>
          <w:b/>
          <w:bCs/>
          <w:color w:val="1A1A2E"/>
          <w:sz w:val="19"/>
          <w:szCs w:val="19"/>
        </w:rPr>
        <w:t xml:space="preserve">Project Description: </w:t>
      </w:r>
      <w:r>
        <w:rPr>
          <w:rFonts w:ascii="Calibri" w:cs="Calibri" w:eastAsia="Calibri" w:hAnsi="Calibri"/>
          <w:color w:val="444444"/>
          <w:sz w:val="19"/>
          <w:szCs w:val="19"/>
        </w:rPr>
        <w:t xml:space="preserve">UPoint is a product delivering HRBPO services to multiple clients. It is a single-entry web portal for aggregation and layout management, page personalization and configuration engines, portal administration and multi-client configuration. UPoint integrates with Workday or PeopleSoft as its HRMS partner, providing access to Aon Hewitt systems from a single location.</w:t>
      </w:r>
    </w:p>
    <w:p>
      <w:pPr>
        <w:spacing w:before="60" w:after="30"/>
      </w:pPr>
      <w:r>
        <w:rPr>
          <w:rFonts w:ascii="Calibri" w:cs="Calibri" w:eastAsia="Calibri" w:hAnsi="Calibri"/>
          <w:b/>
          <w:bCs/>
          <w:color w:val="1A1A2E"/>
          <w:sz w:val="19"/>
          <w:szCs w:val="19"/>
        </w:rPr>
        <w:t xml:space="preserve">Key Contributions:</w:t>
      </w:r>
    </w:p>
    <w:p>
      <w:pPr>
        <w:pStyle w:val="ListParagraph"/>
        <w:numPr>
          <w:ilvl w:val="0"/>
          <w:numId w:val="2"/>
        </w:numPr>
        <w:spacing w:before="30" w:after="30"/>
      </w:pPr>
      <w:r>
        <w:rPr>
          <w:rFonts w:ascii="Calibri" w:cs="Calibri" w:eastAsia="Calibri" w:hAnsi="Calibri"/>
          <w:color w:val="444444"/>
          <w:sz w:val="19"/>
          <w:szCs w:val="19"/>
        </w:rPr>
        <w:t xml:space="preserve">Developed microservices backend (Java/Spring Boot) and Angular frontend for a multi-client HR benefits portal integrating with Workday and PeopleSoft.</w:t>
      </w:r>
    </w:p>
    <w:p>
      <w:pPr>
        <w:pStyle w:val="ListParagraph"/>
        <w:numPr>
          <w:ilvl w:val="0"/>
          <w:numId w:val="2"/>
        </w:numPr>
        <w:spacing w:before="30" w:after="30"/>
      </w:pPr>
      <w:r>
        <w:rPr>
          <w:rFonts w:ascii="Calibri" w:cs="Calibri" w:eastAsia="Calibri" w:hAnsi="Calibri"/>
          <w:color w:val="444444"/>
          <w:sz w:val="19"/>
          <w:szCs w:val="19"/>
        </w:rPr>
        <w:t xml:space="preserve">Managed Liferay portal integration for aggregation, layout management, and page personalization across multiple client environments.</w:t>
      </w:r>
    </w:p>
    <w:p>
      <w:pPr>
        <w:pStyle w:val="ListParagraph"/>
        <w:numPr>
          <w:ilvl w:val="0"/>
          <w:numId w:val="2"/>
        </w:numPr>
        <w:spacing w:before="30" w:after="30"/>
      </w:pPr>
      <w:r>
        <w:rPr>
          <w:rFonts w:ascii="Calibri" w:cs="Calibri" w:eastAsia="Calibri" w:hAnsi="Calibri"/>
          <w:color w:val="444444"/>
          <w:sz w:val="19"/>
          <w:szCs w:val="19"/>
        </w:rPr>
        <w:t xml:space="preserve">Optimized database interactions with Oracle DB and Hibernate, and implemented Memcache caching for improved performance.</w:t>
      </w:r>
    </w:p>
    <w:p>
      <w:pPr>
        <w:pStyle w:val="ListParagraph"/>
        <w:numPr>
          <w:ilvl w:val="0"/>
          <w:numId w:val="2"/>
        </w:numPr>
        <w:spacing w:before="30" w:after="30"/>
      </w:pPr>
      <w:r>
        <w:rPr>
          <w:rFonts w:ascii="Calibri" w:cs="Calibri" w:eastAsia="Calibri" w:hAnsi="Calibri"/>
          <w:color w:val="444444"/>
          <w:sz w:val="19"/>
          <w:szCs w:val="19"/>
        </w:rPr>
        <w:t xml:space="preserve">Deployed and scaled services on Kubernetes, ensuring high availability of the UPoint portal.</w:t>
      </w:r>
    </w:p>
    <w:p>
      <w:pPr>
        <w:spacing w:before="2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600"/>
        <w:gridCol w:w="2760"/>
      </w:tblGrid>
      <w:tr>
        <w:tc>
          <w:tcPr>
            <w:tcW w:type="dxa" w:w="6600"/>
            <w:tcBorders>
              <w:top w:val="none" w:color="FFFFFF" w:sz="0"/>
              <w:left w:val="none" w:color="FFFFFF" w:sz="0"/>
              <w:bottom w:val="none" w:color="FFFFFF" w:sz="0"/>
              <w:right w:val="none" w:color="FFFFFF" w:sz="0"/>
            </w:tcBorders>
            <w:shd w:fill="0F4C81" w:val="clear"/>
            <w:tcMar>
              <w:top w:type="dxa" w:w="80"/>
              <w:left w:type="dxa" w:w="140"/>
              <w:bottom w:type="dxa" w:w="80"/>
              <w:right w:type="dxa" w:w="100"/>
            </w:tcMar>
            <w:vAlign w:val="center"/>
          </w:tcPr>
          <w:p>
            <w:pPr>
              <w:spacing w:before="0" w:after="0"/>
            </w:pPr>
            <w:r>
              <w:rPr>
                <w:rFonts w:ascii="Calibri" w:cs="Calibri" w:eastAsia="Calibri" w:hAnsi="Calibri"/>
                <w:b/>
                <w:bCs/>
                <w:color w:val="FFFFFF"/>
                <w:sz w:val="22"/>
                <w:szCs w:val="22"/>
              </w:rPr>
              <w:t xml:space="preserve">HCL Technologies</w:t>
            </w:r>
            <w:r>
              <w:rPr>
                <w:rFonts w:ascii="Calibri" w:cs="Calibri" w:eastAsia="Calibri" w:hAnsi="Calibri"/>
                <w:color w:val="B8D4E8"/>
                <w:sz w:val="18"/>
                <w:szCs w:val="18"/>
              </w:rPr>
              <w:t xml:space="preserve">  —  Chennai</w:t>
            </w:r>
          </w:p>
        </w:tc>
        <w:tc>
          <w:tcPr>
            <w:tcW w:type="dxa" w:w="2760"/>
            <w:tcBorders>
              <w:top w:val="none" w:color="FFFFFF" w:sz="0"/>
              <w:left w:val="none" w:color="FFFFFF" w:sz="0"/>
              <w:bottom w:val="none" w:color="FFFFFF" w:sz="0"/>
              <w:right w:val="none" w:color="FFFFFF" w:sz="0"/>
            </w:tcBorders>
            <w:shd w:fill="0F4C81" w:val="clear"/>
            <w:tcMar>
              <w:top w:type="dxa" w:w="80"/>
              <w:left w:type="dxa" w:w="100"/>
              <w:bottom w:type="dxa" w:w="80"/>
              <w:right w:type="dxa" w:w="140"/>
            </w:tcMar>
            <w:vAlign w:val="center"/>
          </w:tcPr>
          <w:p>
            <w:pPr>
              <w:spacing w:before="0" w:after="0"/>
              <w:jc w:val="right"/>
            </w:pPr>
            <w:r>
              <w:rPr>
                <w:rFonts w:ascii="Calibri" w:cs="Calibri" w:eastAsia="Calibri" w:hAnsi="Calibri"/>
                <w:b/>
                <w:bCs/>
                <w:color w:val="FFFFFF"/>
                <w:sz w:val="18"/>
                <w:szCs w:val="18"/>
              </w:rPr>
              <w:t xml:space="preserve">Dec 2014 – Oct 2016</w:t>
            </w:r>
          </w:p>
        </w:tc>
      </w:tr>
    </w:tbl>
    <w:p>
      <w:pPr>
        <w:spacing w:before="100" w:after="40"/>
      </w:pPr>
      <w:r>
        <w:rPr>
          <w:rFonts w:ascii="Calibri" w:cs="Calibri" w:eastAsia="Calibri" w:hAnsi="Calibri"/>
          <w:b/>
          <w:bCs/>
          <w:color w:val="1A1A2E"/>
          <w:sz w:val="20"/>
          <w:szCs w:val="20"/>
        </w:rPr>
        <w:t xml:space="preserve">Project: NIC-EASI  |  Client: National Insurance Company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Role</w:t>
            </w:r>
          </w:p>
        </w:tc>
        <w:tc>
          <w:tcPr>
            <w:tcW w:type="dxa" w:w="71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Web Services Integration Developer</w:t>
            </w:r>
          </w:p>
        </w:tc>
      </w:tr>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Team Size</w:t>
            </w:r>
          </w:p>
        </w:tc>
        <w:tc>
          <w:tcPr>
            <w:tcW w:type="dxa" w:w="7160"/>
            <w:tcBorders>
              <w:top w:val="single" w:color="C0C8D0" w:sz="1"/>
              <w:left w:val="single" w:color="C0C8D0" w:sz="1"/>
              <w:bottom w:val="single" w:color="C0C8D0" w:sz="1"/>
              <w:right w:val="single" w:color="C0C8D0" w:sz="1"/>
            </w:tcBorders>
            <w:shd w:fill="F7F9FB"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5</w:t>
            </w:r>
          </w:p>
        </w:tc>
      </w:tr>
      <w:tr>
        <w:tc>
          <w:tcPr>
            <w:tcW w:type="dxa" w:w="2200"/>
            <w:tcBorders>
              <w:top w:val="single" w:color="C0C8D0" w:sz="1"/>
              <w:left w:val="single" w:color="C0C8D0" w:sz="1"/>
              <w:bottom w:val="single" w:color="C0C8D0" w:sz="1"/>
              <w:right w:val="single" w:color="C0C8D0" w:sz="1"/>
            </w:tcBorders>
            <w:shd w:fill="E8EFF5" w:val="clear"/>
            <w:tcMar>
              <w:top w:type="dxa" w:w="60"/>
              <w:left w:type="dxa" w:w="100"/>
              <w:bottom w:type="dxa" w:w="60"/>
              <w:right w:type="dxa" w:w="100"/>
            </w:tcMar>
            <w:vAlign w:val="center"/>
          </w:tcPr>
          <w:p>
            <w:pPr>
              <w:spacing w:before="0" w:after="0"/>
            </w:pPr>
            <w:r>
              <w:rPr>
                <w:rFonts w:ascii="Calibri" w:cs="Calibri" w:eastAsia="Calibri" w:hAnsi="Calibri"/>
                <w:b/>
                <w:bCs/>
                <w:color w:val="0F4C81"/>
                <w:sz w:val="18"/>
                <w:szCs w:val="18"/>
              </w:rPr>
              <w:t xml:space="preserve">Tech Stack</w:t>
            </w:r>
          </w:p>
        </w:tc>
        <w:tc>
          <w:tcPr>
            <w:tcW w:type="dxa" w:w="71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vAlign w:val="center"/>
          </w:tcPr>
          <w:p>
            <w:pPr>
              <w:spacing w:before="0" w:after="0"/>
            </w:pPr>
            <w:r>
              <w:rPr>
                <w:rFonts w:ascii="Calibri" w:cs="Calibri" w:eastAsia="Calibri" w:hAnsi="Calibri"/>
                <w:color w:val="444444"/>
                <w:sz w:val="18"/>
                <w:szCs w:val="18"/>
              </w:rPr>
              <w:t xml:space="preserve">Java, SOAP Web Services, SOA Architecture, EBao, Oracle DB</w:t>
            </w:r>
          </w:p>
        </w:tc>
      </w:tr>
    </w:tbl>
    <w:p>
      <w:pPr>
        <w:spacing w:before="80" w:after="80"/>
      </w:pPr>
      <w:r>
        <w:rPr>
          <w:rFonts w:ascii="Calibri" w:cs="Calibri" w:eastAsia="Calibri" w:hAnsi="Calibri"/>
          <w:b/>
          <w:bCs/>
          <w:color w:val="1A1A2E"/>
          <w:sz w:val="19"/>
          <w:szCs w:val="19"/>
        </w:rPr>
        <w:t xml:space="preserve">Project Description: </w:t>
      </w:r>
      <w:r>
        <w:rPr>
          <w:rFonts w:ascii="Calibri" w:cs="Calibri" w:eastAsia="Calibri" w:hAnsi="Calibri"/>
          <w:color w:val="444444"/>
          <w:sz w:val="19"/>
          <w:szCs w:val="19"/>
        </w:rPr>
        <w:t xml:space="preserve">NIC-EASI (National Insurance Company Enterprise Application Solution for Insurance) is an enterprise solution integrating various applications including EBao (insurance vendor product), CRM, HRMS, MDM, Oracle Applications, IDM, Documentum, and Oracle Business Intelligence. The core insurance module (EBao) is divided into the General System (GS) for new business, renewals, and endorsements, and the General Claim System (GCS) for policy claims.</w:t>
      </w:r>
    </w:p>
    <w:p>
      <w:pPr>
        <w:spacing w:before="60" w:after="30"/>
      </w:pPr>
      <w:r>
        <w:rPr>
          <w:rFonts w:ascii="Calibri" w:cs="Calibri" w:eastAsia="Calibri" w:hAnsi="Calibri"/>
          <w:b/>
          <w:bCs/>
          <w:color w:val="1A1A2E"/>
          <w:sz w:val="19"/>
          <w:szCs w:val="19"/>
        </w:rPr>
        <w:t xml:space="preserve">Key Contributions:</w:t>
      </w:r>
    </w:p>
    <w:p>
      <w:pPr>
        <w:pStyle w:val="ListParagraph"/>
        <w:numPr>
          <w:ilvl w:val="0"/>
          <w:numId w:val="2"/>
        </w:numPr>
        <w:spacing w:before="30" w:after="30"/>
      </w:pPr>
      <w:r>
        <w:rPr>
          <w:rFonts w:ascii="Calibri" w:cs="Calibri" w:eastAsia="Calibri" w:hAnsi="Calibri"/>
          <w:color w:val="444444"/>
          <w:sz w:val="19"/>
          <w:szCs w:val="19"/>
        </w:rPr>
        <w:t xml:space="preserve">Developed and integrated SOAP Web Services facilitating communication between various enterprise applications within the NIC-EASI system.</w:t>
      </w:r>
    </w:p>
    <w:p>
      <w:pPr>
        <w:pStyle w:val="ListParagraph"/>
        <w:numPr>
          <w:ilvl w:val="0"/>
          <w:numId w:val="2"/>
        </w:numPr>
        <w:spacing w:before="30" w:after="30"/>
      </w:pPr>
      <w:r>
        <w:rPr>
          <w:rFonts w:ascii="Calibri" w:cs="Calibri" w:eastAsia="Calibri" w:hAnsi="Calibri"/>
          <w:color w:val="444444"/>
          <w:sz w:val="19"/>
          <w:szCs w:val="19"/>
        </w:rPr>
        <w:t xml:space="preserve">Collaborated on SOA architecture design ensuring seamless integration across CRM, HRMS, MDM, and Oracle Applications.</w:t>
      </w:r>
    </w:p>
    <w:p>
      <w:pPr>
        <w:pStyle w:val="ListParagraph"/>
        <w:numPr>
          <w:ilvl w:val="0"/>
          <w:numId w:val="2"/>
        </w:numPr>
        <w:spacing w:before="30" w:after="30"/>
      </w:pPr>
      <w:r>
        <w:rPr>
          <w:rFonts w:ascii="Calibri" w:cs="Calibri" w:eastAsia="Calibri" w:hAnsi="Calibri"/>
          <w:color w:val="444444"/>
          <w:sz w:val="19"/>
          <w:szCs w:val="19"/>
        </w:rPr>
        <w:t xml:space="preserve">Managed core insurance workflows (new business, renewals, endorsements, claims) using the EBao platform with Oracle DB persistence.</w:t>
      </w:r>
    </w:p>
    <w:p>
      <w:pPr>
        <w:pStyle w:val="ListParagraph"/>
        <w:numPr>
          <w:ilvl w:val="0"/>
          <w:numId w:val="2"/>
        </w:numPr>
        <w:spacing w:before="30" w:after="30"/>
      </w:pPr>
      <w:r>
        <w:rPr>
          <w:rFonts w:ascii="Calibri" w:cs="Calibri" w:eastAsia="Calibri" w:hAnsi="Calibri"/>
          <w:color w:val="444444"/>
          <w:sz w:val="19"/>
          <w:szCs w:val="19"/>
        </w:rPr>
        <w:t xml:space="preserve">Ensured smooth integration of third-party systems including Documentum and Oracle Business Intelligence.</w:t>
      </w:r>
    </w:p>
    <w:p>
      <w:pPr>
        <w:pBdr>
          <w:bottom w:val="single" w:color="0F4C81" w:sz="6" w:space="4"/>
        </w:pBdr>
        <w:spacing w:before="320" w:after="100"/>
      </w:pPr>
      <w:r>
        <w:rPr>
          <w:rFonts w:ascii="Calibri" w:cs="Calibri" w:eastAsia="Calibri" w:hAnsi="Calibri"/>
          <w:b/>
          <w:bCs/>
          <w:color w:val="0F4C81"/>
          <w:spacing w:val="60"/>
          <w:sz w:val="22"/>
          <w:szCs w:val="22"/>
        </w:rPr>
        <w:t xml:space="preserve">CERTIFICATIONS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00"/>
        <w:gridCol w:w="3160"/>
      </w:tblGrid>
      <w:tr>
        <w:tc>
          <w:tcPr>
            <w:tcW w:type="dxa" w:w="620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tcPr>
          <w:p>
            <w:pPr>
              <w:spacing w:before="0" w:after="0"/>
            </w:pPr>
            <w:r>
              <w:rPr>
                <w:rFonts w:ascii="Calibri" w:cs="Calibri" w:eastAsia="Calibri" w:hAnsi="Calibri"/>
                <w:color w:val="1A1A2E"/>
                <w:sz w:val="19"/>
                <w:szCs w:val="19"/>
              </w:rPr>
              <w:t xml:space="preserve">Google Certified Associate Cloud Engineer</w:t>
            </w:r>
          </w:p>
        </w:tc>
        <w:tc>
          <w:tcPr>
            <w:tcW w:type="dxa" w:w="31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tcPr>
          <w:p>
            <w:pPr>
              <w:spacing w:before="0" w:after="0"/>
              <w:jc w:val="right"/>
            </w:pPr>
            <w:r>
              <w:rPr>
                <w:rFonts w:ascii="Calibri" w:cs="Calibri" w:eastAsia="Calibri" w:hAnsi="Calibri"/>
                <w:color w:val="777777"/>
                <w:sz w:val="18"/>
                <w:szCs w:val="18"/>
              </w:rPr>
              <w:t xml:space="preserve">Feb 2025 – Feb 2028</w:t>
            </w:r>
          </w:p>
        </w:tc>
      </w:tr>
      <w:tr>
        <w:tc>
          <w:tcPr>
            <w:tcW w:type="dxa" w:w="6200"/>
            <w:tcBorders>
              <w:top w:val="single" w:color="C0C8D0" w:sz="1"/>
              <w:left w:val="single" w:color="C0C8D0" w:sz="1"/>
              <w:bottom w:val="single" w:color="C0C8D0" w:sz="1"/>
              <w:right w:val="single" w:color="C0C8D0" w:sz="1"/>
            </w:tcBorders>
            <w:shd w:fill="F7F9FB" w:val="clear"/>
            <w:tcMar>
              <w:top w:type="dxa" w:w="60"/>
              <w:left w:type="dxa" w:w="100"/>
              <w:bottom w:type="dxa" w:w="60"/>
              <w:right w:type="dxa" w:w="100"/>
            </w:tcMar>
          </w:tcPr>
          <w:p>
            <w:pPr>
              <w:spacing w:before="0" w:after="0"/>
            </w:pPr>
            <w:r>
              <w:rPr>
                <w:rFonts w:ascii="Calibri" w:cs="Calibri" w:eastAsia="Calibri" w:hAnsi="Calibri"/>
                <w:color w:val="1A1A2E"/>
                <w:sz w:val="19"/>
                <w:szCs w:val="19"/>
              </w:rPr>
              <w:t xml:space="preserve">Microsoft Certified: Azure Data Engineer Associate</w:t>
            </w:r>
          </w:p>
        </w:tc>
        <w:tc>
          <w:tcPr>
            <w:tcW w:type="dxa" w:w="3160"/>
            <w:tcBorders>
              <w:top w:val="single" w:color="C0C8D0" w:sz="1"/>
              <w:left w:val="single" w:color="C0C8D0" w:sz="1"/>
              <w:bottom w:val="single" w:color="C0C8D0" w:sz="1"/>
              <w:right w:val="single" w:color="C0C8D0" w:sz="1"/>
            </w:tcBorders>
            <w:shd w:fill="F7F9FB" w:val="clear"/>
            <w:tcMar>
              <w:top w:type="dxa" w:w="60"/>
              <w:left w:type="dxa" w:w="100"/>
              <w:bottom w:type="dxa" w:w="60"/>
              <w:right w:type="dxa" w:w="100"/>
            </w:tcMar>
          </w:tcPr>
          <w:p>
            <w:pPr>
              <w:spacing w:before="0" w:after="0"/>
              <w:jc w:val="right"/>
            </w:pPr>
            <w:r>
              <w:rPr>
                <w:rFonts w:ascii="Calibri" w:cs="Calibri" w:eastAsia="Calibri" w:hAnsi="Calibri"/>
                <w:color w:val="777777"/>
                <w:sz w:val="18"/>
                <w:szCs w:val="18"/>
              </w:rPr>
              <w:t xml:space="preserve">Dec 2022 – Dec 2024</w:t>
            </w:r>
          </w:p>
        </w:tc>
      </w:tr>
      <w:tr>
        <w:tc>
          <w:tcPr>
            <w:tcW w:type="dxa" w:w="620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tcPr>
          <w:p>
            <w:pPr>
              <w:spacing w:before="0" w:after="0"/>
            </w:pPr>
            <w:r>
              <w:rPr>
                <w:rFonts w:ascii="Calibri" w:cs="Calibri" w:eastAsia="Calibri" w:hAnsi="Calibri"/>
                <w:color w:val="1A1A2E"/>
                <w:sz w:val="19"/>
                <w:szCs w:val="19"/>
              </w:rPr>
              <w:t xml:space="preserve">Microsoft Azure Security Engineer (AZ-500)</w:t>
            </w:r>
          </w:p>
        </w:tc>
        <w:tc>
          <w:tcPr>
            <w:tcW w:type="dxa" w:w="31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tcPr>
          <w:p>
            <w:pPr>
              <w:spacing w:before="0" w:after="0"/>
              <w:jc w:val="right"/>
            </w:pPr>
            <w:r>
              <w:rPr>
                <w:rFonts w:ascii="Calibri" w:cs="Calibri" w:eastAsia="Calibri" w:hAnsi="Calibri"/>
                <w:color w:val="777777"/>
                <w:sz w:val="18"/>
                <w:szCs w:val="18"/>
              </w:rPr>
              <w:t xml:space="preserve">Dec 2022 – Dec 2024</w:t>
            </w:r>
          </w:p>
        </w:tc>
      </w:tr>
      <w:tr>
        <w:tc>
          <w:tcPr>
            <w:tcW w:type="dxa" w:w="6200"/>
            <w:tcBorders>
              <w:top w:val="single" w:color="C0C8D0" w:sz="1"/>
              <w:left w:val="single" w:color="C0C8D0" w:sz="1"/>
              <w:bottom w:val="single" w:color="C0C8D0" w:sz="1"/>
              <w:right w:val="single" w:color="C0C8D0" w:sz="1"/>
            </w:tcBorders>
            <w:shd w:fill="F7F9FB" w:val="clear"/>
            <w:tcMar>
              <w:top w:type="dxa" w:w="60"/>
              <w:left w:type="dxa" w:w="100"/>
              <w:bottom w:type="dxa" w:w="60"/>
              <w:right w:type="dxa" w:w="100"/>
            </w:tcMar>
          </w:tcPr>
          <w:p>
            <w:pPr>
              <w:spacing w:before="0" w:after="0"/>
            </w:pPr>
            <w:r>
              <w:rPr>
                <w:rFonts w:ascii="Calibri" w:cs="Calibri" w:eastAsia="Calibri" w:hAnsi="Calibri"/>
                <w:color w:val="1A1A2E"/>
                <w:sz w:val="19"/>
                <w:szCs w:val="19"/>
              </w:rPr>
              <w:t xml:space="preserve">Microsoft Azure IoT Developer (AZ-220)</w:t>
            </w:r>
          </w:p>
        </w:tc>
        <w:tc>
          <w:tcPr>
            <w:tcW w:type="dxa" w:w="3160"/>
            <w:tcBorders>
              <w:top w:val="single" w:color="C0C8D0" w:sz="1"/>
              <w:left w:val="single" w:color="C0C8D0" w:sz="1"/>
              <w:bottom w:val="single" w:color="C0C8D0" w:sz="1"/>
              <w:right w:val="single" w:color="C0C8D0" w:sz="1"/>
            </w:tcBorders>
            <w:shd w:fill="F7F9FB" w:val="clear"/>
            <w:tcMar>
              <w:top w:type="dxa" w:w="60"/>
              <w:left w:type="dxa" w:w="100"/>
              <w:bottom w:type="dxa" w:w="60"/>
              <w:right w:type="dxa" w:w="100"/>
            </w:tcMar>
          </w:tcPr>
          <w:p>
            <w:pPr>
              <w:spacing w:before="0" w:after="0"/>
              <w:jc w:val="right"/>
            </w:pPr>
            <w:r>
              <w:rPr>
                <w:rFonts w:ascii="Calibri" w:cs="Calibri" w:eastAsia="Calibri" w:hAnsi="Calibri"/>
                <w:color w:val="777777"/>
                <w:sz w:val="18"/>
                <w:szCs w:val="18"/>
              </w:rPr>
              <w:t xml:space="preserve">Sep 2021 – Sep 2022</w:t>
            </w:r>
          </w:p>
        </w:tc>
      </w:tr>
      <w:tr>
        <w:tc>
          <w:tcPr>
            <w:tcW w:type="dxa" w:w="620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tcPr>
          <w:p>
            <w:pPr>
              <w:spacing w:before="0" w:after="0"/>
            </w:pPr>
            <w:r>
              <w:rPr>
                <w:rFonts w:ascii="Calibri" w:cs="Calibri" w:eastAsia="Calibri" w:hAnsi="Calibri"/>
                <w:color w:val="1A1A2E"/>
                <w:sz w:val="19"/>
                <w:szCs w:val="19"/>
              </w:rPr>
              <w:t xml:space="preserve">Certified SAFe 5 Practitioner</w:t>
            </w:r>
          </w:p>
        </w:tc>
        <w:tc>
          <w:tcPr>
            <w:tcW w:type="dxa" w:w="31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tcPr>
          <w:p>
            <w:pPr>
              <w:spacing w:before="0" w:after="0"/>
              <w:jc w:val="right"/>
            </w:pPr>
            <w:r>
              <w:rPr>
                <w:rFonts w:ascii="Calibri" w:cs="Calibri" w:eastAsia="Calibri" w:hAnsi="Calibri"/>
                <w:color w:val="777777"/>
                <w:sz w:val="18"/>
                <w:szCs w:val="18"/>
              </w:rPr>
              <w:t xml:space="preserve">Apr 2023 – Apr 2024</w:t>
            </w:r>
          </w:p>
        </w:tc>
      </w:tr>
    </w:tbl>
    <w:p>
      <w:pPr>
        <w:pBdr>
          <w:bottom w:val="single" w:color="0F4C81" w:sz="6" w:space="4"/>
        </w:pBdr>
        <w:spacing w:before="320" w:after="100"/>
      </w:pPr>
      <w:r>
        <w:rPr>
          <w:rFonts w:ascii="Calibri" w:cs="Calibri" w:eastAsia="Calibri" w:hAnsi="Calibri"/>
          <w:b/>
          <w:bCs/>
          <w:color w:val="0F4C81"/>
          <w:spacing w:val="60"/>
          <w:sz w:val="22"/>
          <w:szCs w:val="22"/>
        </w:rPr>
        <w:t xml:space="preserve">EDUCATION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00"/>
        <w:gridCol w:w="3160"/>
      </w:tblGrid>
      <w:tr>
        <w:tc>
          <w:tcPr>
            <w:tcW w:type="dxa" w:w="620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tcPr>
          <w:p>
            <w:pPr>
              <w:spacing w:before="0" w:after="20"/>
            </w:pPr>
            <w:r>
              <w:rPr>
                <w:rFonts w:ascii="Calibri" w:cs="Calibri" w:eastAsia="Calibri" w:hAnsi="Calibri"/>
                <w:b/>
                <w:bCs/>
                <w:color w:val="1A1A2E"/>
                <w:sz w:val="20"/>
                <w:szCs w:val="20"/>
              </w:rPr>
              <w:t xml:space="preserve">B.Tech in Computer Science &amp; Engineering</w:t>
            </w:r>
          </w:p>
          <w:p>
            <w:pPr>
              <w:spacing w:before="0" w:after="0"/>
            </w:pPr>
            <w:r>
              <w:rPr>
                <w:rFonts w:ascii="Calibri" w:cs="Calibri" w:eastAsia="Calibri" w:hAnsi="Calibri"/>
                <w:color w:val="444444"/>
                <w:sz w:val="18"/>
                <w:szCs w:val="18"/>
              </w:rPr>
              <w:t xml:space="preserve">ABES Engineering College, Ghaziabad  |  UPTU</w:t>
            </w:r>
          </w:p>
        </w:tc>
        <w:tc>
          <w:tcPr>
            <w:tcW w:type="dxa" w:w="3160"/>
            <w:tcBorders>
              <w:top w:val="single" w:color="C0C8D0" w:sz="1"/>
              <w:left w:val="single" w:color="C0C8D0" w:sz="1"/>
              <w:bottom w:val="single" w:color="C0C8D0" w:sz="1"/>
              <w:right w:val="single" w:color="C0C8D0" w:sz="1"/>
            </w:tcBorders>
            <w:shd w:fill="FFFFFF" w:val="clear"/>
            <w:tcMar>
              <w:top w:type="dxa" w:w="60"/>
              <w:left w:type="dxa" w:w="100"/>
              <w:bottom w:type="dxa" w:w="60"/>
              <w:right w:type="dxa" w:w="100"/>
            </w:tcMar>
            <w:vAlign w:val="center"/>
          </w:tcPr>
          <w:p>
            <w:pPr>
              <w:spacing w:before="0" w:after="0"/>
              <w:jc w:val="right"/>
            </w:pPr>
            <w:r>
              <w:rPr>
                <w:rFonts w:ascii="Calibri" w:cs="Calibri" w:eastAsia="Calibri" w:hAnsi="Calibri"/>
                <w:color w:val="777777"/>
                <w:sz w:val="19"/>
                <w:szCs w:val="19"/>
              </w:rPr>
              <w:t xml:space="preserve">2014</w:t>
            </w:r>
          </w:p>
        </w:tc>
      </w:tr>
    </w:tbl>
    <w:sectPr>
      <w:footerReference w:type="default" r:id="rId6"/>
      <w:pgSz w:w="12240" w:h="15840" w:orient="portrait"/>
      <w:pgMar w:top="900" w:right="1440" w:bottom="9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77777"/>
        <w:sz w:val="16"/>
        <w:szCs w:val="16"/>
      </w:rPr>
      <w:t xml:space="preserve">Rohit Kumar Pundhir  |  Page </w:t>
    </w:r>
    <w:r>
      <w:rPr>
        <w:rFonts w:ascii="Calibri" w:cs="Calibri" w:eastAsia="Calibri" w:hAnsi="Calibri"/>
        <w:color w:val="777777"/>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3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2026-03-06T10:43:59.216Z</dcterms:created>
  <dcterms:modified xsi:type="dcterms:W3CDTF">2026-03-06T10:43:59.217Z</dcterms:modified>
</cp:coreProperties>
</file>

<file path=docProps/custom.xml><?xml version="1.0" encoding="utf-8"?>
<Properties xmlns="http://schemas.openxmlformats.org/officeDocument/2006/custom-properties" xmlns:vt="http://schemas.openxmlformats.org/officeDocument/2006/docPropsVTypes"/>
</file>